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3B" w:rsidRDefault="00037CC0">
      <w:pPr>
        <w:rPr>
          <w:rFonts w:ascii="Arial" w:hAnsi="Arial" w:cs="Arial"/>
          <w:sz w:val="22"/>
        </w:rPr>
      </w:pPr>
      <w:r>
        <w:rPr>
          <w:rFonts w:ascii="Arial" w:hAnsi="Arial" w:cs="Arial"/>
          <w:noProof/>
          <w:sz w:val="22"/>
        </w:rPr>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1090930" cy="1363980"/>
            <wp:effectExtent l="0" t="0" r="0" b="7620"/>
            <wp:wrapNone/>
            <wp:docPr id="3" name="Picture 3"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warfare centre final768"/>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363980"/>
                    </a:xfrm>
                    <a:prstGeom prst="rect">
                      <a:avLst/>
                    </a:prstGeom>
                    <a:noFill/>
                  </pic:spPr>
                </pic:pic>
              </a:graphicData>
            </a:graphic>
            <wp14:sizeRelH relativeFrom="page">
              <wp14:pctWidth>0</wp14:pctWidth>
            </wp14:sizeRelH>
            <wp14:sizeRelV relativeFrom="page">
              <wp14:pctHeight>0</wp14:pctHeight>
            </wp14:sizeRelV>
          </wp:anchor>
        </w:drawing>
      </w:r>
    </w:p>
    <w:p w:rsidR="0086333B" w:rsidRDefault="0086333B">
      <w:pPr>
        <w:pStyle w:val="Heading3"/>
        <w:rPr>
          <w:rFonts w:ascii="Arial" w:hAnsi="Arial" w:cs="Arial"/>
          <w:sz w:val="22"/>
        </w:rPr>
      </w:pPr>
      <w:bookmarkStart w:id="0" w:name="_Toc80419516"/>
      <w:bookmarkStart w:id="1" w:name="_Toc80419564"/>
      <w:bookmarkStart w:id="2" w:name="_Toc80420005"/>
      <w:r>
        <w:rPr>
          <w:rFonts w:ascii="Arial" w:hAnsi="Arial" w:cs="Arial"/>
          <w:sz w:val="22"/>
        </w:rPr>
        <w:t>JOINT WARFARE CENTRE</w:t>
      </w:r>
      <w:bookmarkEnd w:id="0"/>
      <w:bookmarkEnd w:id="1"/>
      <w:bookmarkEnd w:id="2"/>
    </w:p>
    <w:p w:rsidR="0086333B" w:rsidRDefault="0086333B">
      <w:pPr>
        <w:jc w:val="center"/>
        <w:rPr>
          <w:rFonts w:ascii="Arial" w:hAnsi="Arial" w:cs="Arial"/>
          <w:b/>
          <w:bCs/>
          <w:sz w:val="22"/>
        </w:rPr>
      </w:pPr>
    </w:p>
    <w:p w:rsidR="0086333B" w:rsidRDefault="0086333B">
      <w:pPr>
        <w:jc w:val="center"/>
        <w:rPr>
          <w:rFonts w:ascii="Arial" w:hAnsi="Arial" w:cs="Arial"/>
          <w:sz w:val="22"/>
        </w:rPr>
      </w:pPr>
      <w:r>
        <w:rPr>
          <w:rFonts w:ascii="Arial" w:hAnsi="Arial" w:cs="Arial"/>
          <w:sz w:val="22"/>
        </w:rPr>
        <w:t>Postbox 8080</w:t>
      </w:r>
    </w:p>
    <w:p w:rsidR="0086333B" w:rsidRDefault="0086333B">
      <w:pPr>
        <w:jc w:val="center"/>
        <w:rPr>
          <w:rFonts w:ascii="Arial" w:hAnsi="Arial" w:cs="Arial"/>
          <w:sz w:val="22"/>
        </w:rPr>
      </w:pPr>
      <w:r>
        <w:rPr>
          <w:rFonts w:ascii="Arial" w:hAnsi="Arial" w:cs="Arial"/>
          <w:sz w:val="22"/>
        </w:rPr>
        <w:t xml:space="preserve">N-4068 </w:t>
      </w:r>
      <w:smartTag w:uri="urn:schemas-microsoft-com:office:smarttags" w:element="place">
        <w:smartTag w:uri="urn:schemas-microsoft-com:office:smarttags" w:element="City">
          <w:r>
            <w:rPr>
              <w:rFonts w:ascii="Arial" w:hAnsi="Arial" w:cs="Arial"/>
              <w:sz w:val="22"/>
            </w:rPr>
            <w:t>Stavanger</w:t>
          </w:r>
        </w:smartTag>
        <w:r>
          <w:rPr>
            <w:rFonts w:ascii="Arial" w:hAnsi="Arial" w:cs="Arial"/>
            <w:sz w:val="22"/>
          </w:rPr>
          <w:t xml:space="preserve">, </w:t>
        </w:r>
        <w:smartTag w:uri="urn:schemas-microsoft-com:office:smarttags" w:element="country-region">
          <w:r>
            <w:rPr>
              <w:rFonts w:ascii="Arial" w:hAnsi="Arial" w:cs="Arial"/>
              <w:sz w:val="22"/>
            </w:rPr>
            <w:t>Norway</w:t>
          </w:r>
        </w:smartTag>
      </w:smartTag>
    </w:p>
    <w:p w:rsidR="0086333B" w:rsidRDefault="0086333B">
      <w:pPr>
        <w:rPr>
          <w:rFonts w:ascii="Arial" w:hAnsi="Arial" w:cs="Arial"/>
          <w:sz w:val="22"/>
        </w:rPr>
      </w:pPr>
    </w:p>
    <w:p w:rsidR="0086333B" w:rsidRDefault="0086333B">
      <w:pPr>
        <w:rPr>
          <w:rFonts w:ascii="Arial" w:hAnsi="Arial" w:cs="Arial"/>
          <w:sz w:val="22"/>
        </w:rPr>
      </w:pPr>
    </w:p>
    <w:p w:rsidR="0086333B" w:rsidRDefault="0086333B">
      <w:pPr>
        <w:rPr>
          <w:rFonts w:ascii="Arial" w:hAnsi="Arial" w:cs="Arial"/>
          <w:sz w:val="22"/>
        </w:rPr>
      </w:pPr>
    </w:p>
    <w:p w:rsidR="0086333B" w:rsidRDefault="0086333B">
      <w:pPr>
        <w:rPr>
          <w:rFonts w:ascii="Arial" w:hAnsi="Arial" w:cs="Arial"/>
          <w:sz w:val="22"/>
        </w:rPr>
      </w:pPr>
    </w:p>
    <w:p w:rsidR="0086333B" w:rsidRDefault="0086333B">
      <w:pPr>
        <w:ind w:left="5040" w:firstLine="720"/>
        <w:jc w:val="center"/>
        <w:rPr>
          <w:rFonts w:ascii="Arial" w:hAnsi="Arial" w:cs="Arial"/>
          <w:sz w:val="22"/>
          <w:u w:val="single"/>
        </w:rPr>
      </w:pPr>
      <w:r>
        <w:rPr>
          <w:rFonts w:ascii="Arial" w:hAnsi="Arial" w:cs="Arial"/>
          <w:sz w:val="22"/>
        </w:rPr>
        <w:t xml:space="preserve">Date: </w:t>
      </w:r>
      <w:r w:rsidRPr="00DD1663">
        <w:rPr>
          <w:rFonts w:ascii="Arial" w:hAnsi="Arial" w:cs="Arial"/>
          <w:sz w:val="22"/>
        </w:rPr>
        <w:tab/>
      </w:r>
      <w:r w:rsidR="004B5587">
        <w:rPr>
          <w:rFonts w:ascii="Arial" w:hAnsi="Arial" w:cs="Arial"/>
          <w:sz w:val="22"/>
        </w:rPr>
        <w:t>11</w:t>
      </w:r>
      <w:r w:rsidR="00C21337">
        <w:rPr>
          <w:rFonts w:ascii="Arial" w:hAnsi="Arial" w:cs="Arial"/>
          <w:sz w:val="22"/>
        </w:rPr>
        <w:t xml:space="preserve"> </w:t>
      </w:r>
      <w:r w:rsidR="00380E04">
        <w:rPr>
          <w:rFonts w:ascii="Arial" w:hAnsi="Arial" w:cs="Arial"/>
          <w:sz w:val="22"/>
        </w:rPr>
        <w:t>March</w:t>
      </w:r>
      <w:r w:rsidR="00C21337">
        <w:rPr>
          <w:rFonts w:ascii="Arial" w:hAnsi="Arial" w:cs="Arial"/>
          <w:sz w:val="22"/>
        </w:rPr>
        <w:t xml:space="preserve"> 20</w:t>
      </w:r>
      <w:r w:rsidR="00037CC0">
        <w:rPr>
          <w:rFonts w:ascii="Arial" w:hAnsi="Arial" w:cs="Arial"/>
          <w:sz w:val="22"/>
        </w:rPr>
        <w:t>1</w:t>
      </w:r>
      <w:r w:rsidR="00380E04">
        <w:rPr>
          <w:rFonts w:ascii="Arial" w:hAnsi="Arial" w:cs="Arial"/>
          <w:sz w:val="22"/>
        </w:rPr>
        <w:t>6</w:t>
      </w:r>
    </w:p>
    <w:p w:rsidR="0086333B" w:rsidRDefault="0086333B">
      <w:pPr>
        <w:pStyle w:val="Heading1"/>
        <w:rPr>
          <w:u w:val="single"/>
        </w:rPr>
      </w:pPr>
      <w:bookmarkStart w:id="3" w:name="_GoBack"/>
      <w:bookmarkEnd w:id="3"/>
    </w:p>
    <w:p w:rsidR="00997457" w:rsidRDefault="00997457">
      <w:pPr>
        <w:pStyle w:val="Heading1"/>
      </w:pPr>
    </w:p>
    <w:p w:rsidR="005A5069" w:rsidRDefault="00A32C0A" w:rsidP="00997457">
      <w:pPr>
        <w:pStyle w:val="Heading1"/>
        <w:ind w:left="-720"/>
      </w:pPr>
      <w:r>
        <w:t xml:space="preserve">Subject: </w:t>
      </w:r>
      <w:r w:rsidR="00380E04">
        <w:t xml:space="preserve">Questions &amp; Answers to </w:t>
      </w:r>
      <w:r w:rsidR="00380E04" w:rsidRPr="00380E04">
        <w:t>IFIB-ACT-JWC-16-01</w:t>
      </w:r>
      <w:r w:rsidR="00380E04">
        <w:t xml:space="preserve"> </w:t>
      </w:r>
    </w:p>
    <w:p w:rsidR="00DD1663" w:rsidRPr="00DD1663" w:rsidRDefault="00DD1663" w:rsidP="00DD1663"/>
    <w:p w:rsidR="0086333B" w:rsidRDefault="0086333B">
      <w:pPr>
        <w:rPr>
          <w:rFonts w:ascii="Arial" w:hAnsi="Arial" w:cs="Arial"/>
          <w:sz w:val="22"/>
        </w:rPr>
      </w:pPr>
    </w:p>
    <w:p w:rsidR="00997457" w:rsidRPr="00997457" w:rsidRDefault="001C1487" w:rsidP="00997457">
      <w:pPr>
        <w:pStyle w:val="Heading1"/>
        <w:ind w:left="-720"/>
        <w:rPr>
          <w:b w:val="0"/>
          <w:bCs w:val="0"/>
        </w:rPr>
      </w:pPr>
      <w:r w:rsidRPr="00997457">
        <w:rPr>
          <w:b w:val="0"/>
        </w:rPr>
        <w:t>The following question</w:t>
      </w:r>
      <w:r w:rsidR="00937455" w:rsidRPr="00997457">
        <w:rPr>
          <w:b w:val="0"/>
        </w:rPr>
        <w:t>s have been</w:t>
      </w:r>
      <w:r w:rsidRPr="00997457">
        <w:rPr>
          <w:b w:val="0"/>
        </w:rPr>
        <w:t xml:space="preserve"> </w:t>
      </w:r>
      <w:r w:rsidR="0086333B" w:rsidRPr="00997457">
        <w:rPr>
          <w:b w:val="0"/>
        </w:rPr>
        <w:t>raised with respect to the subject IF</w:t>
      </w:r>
      <w:r w:rsidR="00D916D7" w:rsidRPr="00997457">
        <w:rPr>
          <w:b w:val="0"/>
        </w:rPr>
        <w:t>IB. Response is</w:t>
      </w:r>
      <w:r w:rsidR="00997457" w:rsidRPr="00997457">
        <w:rPr>
          <w:b w:val="0"/>
        </w:rPr>
        <w:t xml:space="preserve"> to provide clarification;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5580"/>
      </w:tblGrid>
      <w:tr w:rsidR="0086333B" w:rsidTr="00997457">
        <w:tc>
          <w:tcPr>
            <w:tcW w:w="720" w:type="dxa"/>
            <w:shd w:val="clear" w:color="auto" w:fill="E0E0E0"/>
          </w:tcPr>
          <w:p w:rsidR="0086333B" w:rsidRPr="00997457" w:rsidRDefault="0086333B">
            <w:pPr>
              <w:rPr>
                <w:rFonts w:ascii="Arial" w:hAnsi="Arial" w:cs="Arial"/>
                <w:b/>
                <w:bCs/>
                <w:sz w:val="22"/>
                <w:szCs w:val="22"/>
              </w:rPr>
            </w:pPr>
            <w:r w:rsidRPr="00997457">
              <w:rPr>
                <w:rFonts w:ascii="Arial" w:hAnsi="Arial" w:cs="Arial"/>
                <w:b/>
                <w:bCs/>
                <w:sz w:val="22"/>
                <w:szCs w:val="22"/>
              </w:rPr>
              <w:t>#</w:t>
            </w:r>
          </w:p>
        </w:tc>
        <w:tc>
          <w:tcPr>
            <w:tcW w:w="4140" w:type="dxa"/>
            <w:shd w:val="clear" w:color="auto" w:fill="E0E0E0"/>
          </w:tcPr>
          <w:p w:rsidR="0086333B" w:rsidRPr="00997457" w:rsidRDefault="0086333B">
            <w:pPr>
              <w:rPr>
                <w:rFonts w:ascii="Arial" w:hAnsi="Arial" w:cs="Arial"/>
                <w:b/>
                <w:bCs/>
                <w:sz w:val="22"/>
                <w:szCs w:val="22"/>
              </w:rPr>
            </w:pPr>
            <w:r w:rsidRPr="00997457">
              <w:rPr>
                <w:rFonts w:ascii="Arial" w:hAnsi="Arial" w:cs="Arial"/>
                <w:b/>
                <w:bCs/>
                <w:sz w:val="22"/>
                <w:szCs w:val="22"/>
              </w:rPr>
              <w:t>Question</w:t>
            </w:r>
          </w:p>
        </w:tc>
        <w:tc>
          <w:tcPr>
            <w:tcW w:w="5580" w:type="dxa"/>
            <w:shd w:val="clear" w:color="auto" w:fill="E0E0E0"/>
          </w:tcPr>
          <w:p w:rsidR="0086333B" w:rsidRPr="00997457" w:rsidRDefault="0086333B">
            <w:pPr>
              <w:rPr>
                <w:rFonts w:ascii="Arial" w:hAnsi="Arial" w:cs="Arial"/>
                <w:b/>
                <w:bCs/>
                <w:sz w:val="22"/>
                <w:szCs w:val="22"/>
              </w:rPr>
            </w:pPr>
            <w:r w:rsidRPr="00997457">
              <w:rPr>
                <w:rFonts w:ascii="Arial" w:hAnsi="Arial" w:cs="Arial"/>
                <w:b/>
                <w:bCs/>
                <w:sz w:val="22"/>
                <w:szCs w:val="22"/>
              </w:rPr>
              <w:t>Response</w:t>
            </w:r>
          </w:p>
        </w:tc>
      </w:tr>
      <w:tr w:rsidR="0086333B" w:rsidRPr="00B742C2" w:rsidTr="00997457">
        <w:tc>
          <w:tcPr>
            <w:tcW w:w="720" w:type="dxa"/>
          </w:tcPr>
          <w:p w:rsidR="0086333B" w:rsidRPr="00997457" w:rsidRDefault="000860CE" w:rsidP="00B742C2">
            <w:pPr>
              <w:rPr>
                <w:rFonts w:ascii="Arial" w:hAnsi="Arial" w:cs="Arial"/>
                <w:sz w:val="22"/>
                <w:szCs w:val="22"/>
              </w:rPr>
            </w:pPr>
            <w:r>
              <w:rPr>
                <w:rFonts w:ascii="Arial" w:hAnsi="Arial" w:cs="Arial"/>
                <w:sz w:val="22"/>
                <w:szCs w:val="22"/>
              </w:rPr>
              <w:t>00</w:t>
            </w:r>
            <w:r w:rsidR="00B742C2">
              <w:rPr>
                <w:rFonts w:ascii="Arial" w:hAnsi="Arial" w:cs="Arial"/>
                <w:sz w:val="22"/>
                <w:szCs w:val="22"/>
              </w:rPr>
              <w:t>1</w:t>
            </w:r>
          </w:p>
        </w:tc>
        <w:tc>
          <w:tcPr>
            <w:tcW w:w="4140" w:type="dxa"/>
          </w:tcPr>
          <w:p w:rsidR="00955BCF" w:rsidRPr="00955BCF" w:rsidRDefault="00955BCF" w:rsidP="00955BCF">
            <w:r>
              <w:rPr>
                <w:color w:val="1F497D"/>
                <w:lang w:val="en-GB"/>
              </w:rPr>
              <w:t xml:space="preserve">In order to provide a level playing field for all competitors we ask for JWC to consider </w:t>
            </w:r>
            <w:proofErr w:type="gramStart"/>
            <w:r>
              <w:rPr>
                <w:color w:val="1F497D"/>
                <w:lang w:val="en-GB"/>
              </w:rPr>
              <w:t>to include</w:t>
            </w:r>
            <w:proofErr w:type="gramEnd"/>
            <w:r>
              <w:rPr>
                <w:color w:val="1F497D"/>
                <w:lang w:val="en-GB"/>
              </w:rPr>
              <w:t xml:space="preserve"> a contractual clause providing a liability cap. We propose the clause used by the </w:t>
            </w:r>
            <w:r>
              <w:rPr>
                <w:color w:val="1F497D"/>
              </w:rPr>
              <w:t>Norwegian Government's Standard Terms and Conditions for Consultancy Assistance:</w:t>
            </w:r>
          </w:p>
          <w:p w:rsidR="00955BCF" w:rsidRPr="00955BCF" w:rsidRDefault="00955BCF" w:rsidP="00955BCF">
            <w:r>
              <w:rPr>
                <w:i/>
                <w:iCs/>
                <w:color w:val="1F497D"/>
              </w:rPr>
              <w:t>No damages may be claimed in respect of indirect loss. Indirect loss includes, but is not limited to, lost earnings of any kind, lost savings, loss of data, and claims from third parties, with the exception of liability for damages imposed as a result of defects in title.</w:t>
            </w:r>
          </w:p>
          <w:p w:rsidR="00955BCF" w:rsidRPr="00955BCF" w:rsidRDefault="00955BCF" w:rsidP="00955BCF">
            <w:r>
              <w:rPr>
                <w:i/>
                <w:iCs/>
                <w:color w:val="1F497D"/>
              </w:rPr>
              <w:t xml:space="preserve">Overall damages over the term of the Agreement are limited to an amount that corresponds to the agreed consideration or an upper estimate for the Assistance, excluding Value Added Tax. </w:t>
            </w:r>
          </w:p>
          <w:p w:rsidR="00955BCF" w:rsidRPr="00955BCF" w:rsidRDefault="00955BCF" w:rsidP="00955BCF">
            <w:r>
              <w:rPr>
                <w:i/>
                <w:iCs/>
                <w:color w:val="1F497D"/>
              </w:rPr>
              <w:t>The said limitations shall not apply in the case of gross negligence or willful misconduct on the part of the defaulting party or anyone for whom it is responsible</w:t>
            </w:r>
            <w:r>
              <w:rPr>
                <w:color w:val="1F497D"/>
              </w:rPr>
              <w:t>.</w:t>
            </w:r>
          </w:p>
          <w:p w:rsidR="0086333B" w:rsidRPr="00380E04" w:rsidRDefault="0086333B">
            <w:pPr>
              <w:rPr>
                <w:rFonts w:ascii="Arial" w:hAnsi="Arial" w:cs="Arial"/>
                <w:sz w:val="22"/>
                <w:szCs w:val="22"/>
              </w:rPr>
            </w:pPr>
          </w:p>
        </w:tc>
        <w:tc>
          <w:tcPr>
            <w:tcW w:w="5580" w:type="dxa"/>
          </w:tcPr>
          <w:p w:rsidR="004B5587" w:rsidRDefault="006C1EFC" w:rsidP="004B5587">
            <w:pPr>
              <w:rPr>
                <w:rFonts w:ascii="Arial" w:hAnsi="Arial" w:cs="Arial"/>
              </w:rPr>
            </w:pPr>
            <w:r>
              <w:rPr>
                <w:rFonts w:ascii="Arial" w:hAnsi="Arial" w:cs="Arial"/>
              </w:rPr>
              <w:t>The Joint Warfare Centre has carefully considered the proposed change from both a financial and legal perspective and have concluded that the current wording of the</w:t>
            </w:r>
            <w:r w:rsidR="004B5587">
              <w:rPr>
                <w:rFonts w:ascii="Arial" w:hAnsi="Arial" w:cs="Arial"/>
              </w:rPr>
              <w:t xml:space="preserve"> general terms and conditions provide </w:t>
            </w:r>
            <w:r>
              <w:rPr>
                <w:rFonts w:ascii="Arial" w:hAnsi="Arial" w:cs="Arial"/>
              </w:rPr>
              <w:t xml:space="preserve">a </w:t>
            </w:r>
            <w:r w:rsidR="004B5587">
              <w:rPr>
                <w:rFonts w:ascii="Arial" w:hAnsi="Arial" w:cs="Arial"/>
              </w:rPr>
              <w:t>balanced protection for both Joint Warfare Centre and the bidde</w:t>
            </w:r>
            <w:r>
              <w:rPr>
                <w:rFonts w:ascii="Arial" w:hAnsi="Arial" w:cs="Arial"/>
              </w:rPr>
              <w:t>rs/</w:t>
            </w:r>
            <w:proofErr w:type="spellStart"/>
            <w:r>
              <w:rPr>
                <w:rFonts w:ascii="Arial" w:hAnsi="Arial" w:cs="Arial"/>
              </w:rPr>
              <w:t>contractee</w:t>
            </w:r>
            <w:proofErr w:type="spellEnd"/>
            <w:r>
              <w:rPr>
                <w:rFonts w:ascii="Arial" w:hAnsi="Arial" w:cs="Arial"/>
              </w:rPr>
              <w:t>. By inserting the proposed</w:t>
            </w:r>
            <w:r w:rsidR="004B5587">
              <w:rPr>
                <w:rFonts w:ascii="Arial" w:hAnsi="Arial" w:cs="Arial"/>
              </w:rPr>
              <w:t xml:space="preserve"> provision, JWC’s position may </w:t>
            </w:r>
            <w:r w:rsidR="008F359B">
              <w:rPr>
                <w:rFonts w:ascii="Arial" w:hAnsi="Arial" w:cs="Arial"/>
              </w:rPr>
              <w:t>therefore be weakened.</w:t>
            </w:r>
            <w:r w:rsidR="00F2132A">
              <w:rPr>
                <w:rFonts w:ascii="Arial" w:hAnsi="Arial" w:cs="Arial"/>
              </w:rPr>
              <w:t xml:space="preserve"> </w:t>
            </w:r>
          </w:p>
          <w:p w:rsidR="004B5587" w:rsidRDefault="004B5587" w:rsidP="004B5587">
            <w:pPr>
              <w:rPr>
                <w:rFonts w:ascii="Arial" w:hAnsi="Arial" w:cs="Arial"/>
              </w:rPr>
            </w:pPr>
          </w:p>
          <w:p w:rsidR="004B5587" w:rsidRDefault="004B5587" w:rsidP="004B5587">
            <w:pPr>
              <w:rPr>
                <w:rFonts w:ascii="Calibri" w:hAnsi="Calibri"/>
              </w:rPr>
            </w:pPr>
            <w:r>
              <w:rPr>
                <w:rFonts w:ascii="Arial" w:hAnsi="Arial" w:cs="Arial"/>
              </w:rPr>
              <w:t>Based on the above, JWC will not in</w:t>
            </w:r>
            <w:r w:rsidR="00822F4D">
              <w:rPr>
                <w:rFonts w:ascii="Arial" w:hAnsi="Arial" w:cs="Arial"/>
              </w:rPr>
              <w:t>clude this proposed provision</w:t>
            </w:r>
            <w:r>
              <w:rPr>
                <w:rFonts w:ascii="Arial" w:hAnsi="Arial" w:cs="Arial"/>
              </w:rPr>
              <w:t xml:space="preserve"> into the terms.    </w:t>
            </w:r>
          </w:p>
          <w:p w:rsidR="00EF0C44" w:rsidRPr="00955BCF" w:rsidRDefault="00EF0C44" w:rsidP="00EF0C44">
            <w:pPr>
              <w:rPr>
                <w:rFonts w:ascii="Arial" w:hAnsi="Arial" w:cs="Arial"/>
                <w:sz w:val="22"/>
                <w:szCs w:val="22"/>
              </w:rPr>
            </w:pPr>
          </w:p>
        </w:tc>
      </w:tr>
      <w:tr w:rsidR="005A5069" w:rsidRPr="0061437C" w:rsidTr="00997457">
        <w:tc>
          <w:tcPr>
            <w:tcW w:w="720" w:type="dxa"/>
          </w:tcPr>
          <w:p w:rsidR="005A5069" w:rsidRPr="00A84B9D" w:rsidRDefault="00C21337" w:rsidP="00A84B9D">
            <w:pPr>
              <w:rPr>
                <w:rFonts w:ascii="Arial" w:hAnsi="Arial" w:cs="Arial"/>
                <w:sz w:val="22"/>
                <w:szCs w:val="22"/>
              </w:rPr>
            </w:pPr>
            <w:r w:rsidRPr="00A84B9D">
              <w:rPr>
                <w:rFonts w:ascii="Arial" w:hAnsi="Arial" w:cs="Arial"/>
                <w:sz w:val="22"/>
                <w:szCs w:val="22"/>
              </w:rPr>
              <w:t>0</w:t>
            </w:r>
            <w:r w:rsidR="00A84B9D">
              <w:rPr>
                <w:rFonts w:ascii="Arial" w:hAnsi="Arial" w:cs="Arial"/>
                <w:sz w:val="22"/>
                <w:szCs w:val="22"/>
              </w:rPr>
              <w:t>02</w:t>
            </w:r>
          </w:p>
        </w:tc>
        <w:tc>
          <w:tcPr>
            <w:tcW w:w="4140" w:type="dxa"/>
          </w:tcPr>
          <w:p w:rsidR="0061437C" w:rsidRPr="003D42B7" w:rsidRDefault="0061437C" w:rsidP="00A84B9D">
            <w:pPr>
              <w:pStyle w:val="BodyText"/>
              <w:rPr>
                <w:rFonts w:ascii="Arial" w:hAnsi="Arial" w:cs="Arial"/>
                <w:sz w:val="22"/>
                <w:szCs w:val="22"/>
              </w:rPr>
            </w:pPr>
          </w:p>
        </w:tc>
        <w:tc>
          <w:tcPr>
            <w:tcW w:w="5580" w:type="dxa"/>
          </w:tcPr>
          <w:p w:rsidR="00946754" w:rsidRPr="0061437C" w:rsidRDefault="00946754" w:rsidP="00B742C2">
            <w:pPr>
              <w:pStyle w:val="BodyText"/>
              <w:rPr>
                <w:rFonts w:ascii="Arial" w:hAnsi="Arial" w:cs="Arial"/>
                <w:sz w:val="22"/>
                <w:szCs w:val="22"/>
              </w:rPr>
            </w:pPr>
          </w:p>
        </w:tc>
      </w:tr>
    </w:tbl>
    <w:p w:rsidR="0086333B" w:rsidRPr="00E10F40" w:rsidRDefault="0086333B">
      <w:pPr>
        <w:rPr>
          <w:rFonts w:ascii="Arial" w:hAnsi="Arial" w:cs="Arial"/>
          <w:sz w:val="22"/>
        </w:rPr>
      </w:pPr>
    </w:p>
    <w:sectPr w:rsidR="0086333B" w:rsidRPr="00E10F40" w:rsidSect="00997457">
      <w:footerReference w:type="even" r:id="rId9"/>
      <w:footerReference w:type="default" r:id="rId10"/>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7C" w:rsidRDefault="004D287C">
      <w:r>
        <w:separator/>
      </w:r>
    </w:p>
  </w:endnote>
  <w:endnote w:type="continuationSeparator" w:id="0">
    <w:p w:rsidR="004D287C" w:rsidRDefault="004D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CF" w:rsidRDefault="00955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CF" w:rsidRDefault="00955B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CF" w:rsidRDefault="00955BCF">
    <w:pPr>
      <w:pStyle w:val="Footer"/>
      <w:framePr w:wrap="around" w:vAnchor="text" w:hAnchor="margin" w:xAlign="right" w:y="1"/>
      <w:rPr>
        <w:rStyle w:val="PageNumber"/>
        <w:rFonts w:ascii="Arial" w:hAnsi="Arial" w:cs="Arial"/>
        <w:sz w:val="18"/>
      </w:rPr>
    </w:pPr>
    <w:r>
      <w:rPr>
        <w:rStyle w:val="PageNumbe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5256EC">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1 </w:t>
    </w:r>
  </w:p>
  <w:p w:rsidR="00955BCF" w:rsidRDefault="00955BCF">
    <w:pPr>
      <w:pStyle w:val="Footer"/>
      <w:ind w:right="360"/>
      <w:rPr>
        <w:rFonts w:ascii="Arial" w:hAnsi="Arial" w:cs="Arial"/>
        <w:sz w:val="18"/>
      </w:rPr>
    </w:pPr>
    <w:r>
      <w:rPr>
        <w:rFonts w:ascii="Arial" w:hAnsi="Arial" w:cs="Arial"/>
        <w:sz w:val="18"/>
      </w:rPr>
      <w:t xml:space="preserve">Questions &amp; Answers to IFIB ACT-JWC-16-01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7C" w:rsidRDefault="004D287C">
      <w:r>
        <w:separator/>
      </w:r>
    </w:p>
  </w:footnote>
  <w:footnote w:type="continuationSeparator" w:id="0">
    <w:p w:rsidR="004D287C" w:rsidRDefault="004D2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D7C"/>
    <w:multiLevelType w:val="hybridMultilevel"/>
    <w:tmpl w:val="6E8A3526"/>
    <w:lvl w:ilvl="0" w:tplc="DBA4E57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479E6"/>
    <w:multiLevelType w:val="hybridMultilevel"/>
    <w:tmpl w:val="D33AD8AA"/>
    <w:lvl w:ilvl="0" w:tplc="1C46FEE2">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75ECD"/>
    <w:multiLevelType w:val="hybridMultilevel"/>
    <w:tmpl w:val="6836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46587"/>
    <w:multiLevelType w:val="hybridMultilevel"/>
    <w:tmpl w:val="161C8A6C"/>
    <w:lvl w:ilvl="0" w:tplc="D2BAAC80">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F22FB"/>
    <w:multiLevelType w:val="hybridMultilevel"/>
    <w:tmpl w:val="23A6E6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A7020C7"/>
    <w:multiLevelType w:val="hybridMultilevel"/>
    <w:tmpl w:val="8E0E552A"/>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7C"/>
    <w:rsid w:val="00000A73"/>
    <w:rsid w:val="000205C7"/>
    <w:rsid w:val="00037CC0"/>
    <w:rsid w:val="00055AEC"/>
    <w:rsid w:val="000860CE"/>
    <w:rsid w:val="000B4784"/>
    <w:rsid w:val="000C3EFC"/>
    <w:rsid w:val="00105EB4"/>
    <w:rsid w:val="00124508"/>
    <w:rsid w:val="00153C77"/>
    <w:rsid w:val="0017342B"/>
    <w:rsid w:val="001C1487"/>
    <w:rsid w:val="001C1C7C"/>
    <w:rsid w:val="00232770"/>
    <w:rsid w:val="002B774E"/>
    <w:rsid w:val="00367C45"/>
    <w:rsid w:val="00380E04"/>
    <w:rsid w:val="003C65E2"/>
    <w:rsid w:val="003D34A2"/>
    <w:rsid w:val="003D42B7"/>
    <w:rsid w:val="003F477C"/>
    <w:rsid w:val="00413831"/>
    <w:rsid w:val="004204C1"/>
    <w:rsid w:val="0046009E"/>
    <w:rsid w:val="004B5587"/>
    <w:rsid w:val="004D287C"/>
    <w:rsid w:val="004F76E5"/>
    <w:rsid w:val="00513C91"/>
    <w:rsid w:val="005256EC"/>
    <w:rsid w:val="00542D4B"/>
    <w:rsid w:val="00586488"/>
    <w:rsid w:val="00592799"/>
    <w:rsid w:val="005A5069"/>
    <w:rsid w:val="005D156C"/>
    <w:rsid w:val="005D693F"/>
    <w:rsid w:val="0061437C"/>
    <w:rsid w:val="006920E5"/>
    <w:rsid w:val="006A0727"/>
    <w:rsid w:val="006A6CB2"/>
    <w:rsid w:val="006C1EFC"/>
    <w:rsid w:val="006E6C96"/>
    <w:rsid w:val="006F3371"/>
    <w:rsid w:val="006F596E"/>
    <w:rsid w:val="0070052F"/>
    <w:rsid w:val="00711667"/>
    <w:rsid w:val="00736911"/>
    <w:rsid w:val="00747ECD"/>
    <w:rsid w:val="00761208"/>
    <w:rsid w:val="007739AB"/>
    <w:rsid w:val="00786739"/>
    <w:rsid w:val="00796A6A"/>
    <w:rsid w:val="00817E81"/>
    <w:rsid w:val="00822F4D"/>
    <w:rsid w:val="008262F8"/>
    <w:rsid w:val="00832115"/>
    <w:rsid w:val="00836B33"/>
    <w:rsid w:val="0086333B"/>
    <w:rsid w:val="00865EAB"/>
    <w:rsid w:val="008C3704"/>
    <w:rsid w:val="008C4D3D"/>
    <w:rsid w:val="008D13C6"/>
    <w:rsid w:val="008F359B"/>
    <w:rsid w:val="00906748"/>
    <w:rsid w:val="00930432"/>
    <w:rsid w:val="00937455"/>
    <w:rsid w:val="0093790A"/>
    <w:rsid w:val="00941955"/>
    <w:rsid w:val="00946754"/>
    <w:rsid w:val="00946ED8"/>
    <w:rsid w:val="00955BCF"/>
    <w:rsid w:val="00993333"/>
    <w:rsid w:val="00997457"/>
    <w:rsid w:val="009A0D23"/>
    <w:rsid w:val="009A199E"/>
    <w:rsid w:val="009E49D7"/>
    <w:rsid w:val="00A32C0A"/>
    <w:rsid w:val="00A37C00"/>
    <w:rsid w:val="00A4589E"/>
    <w:rsid w:val="00A46B56"/>
    <w:rsid w:val="00A511C4"/>
    <w:rsid w:val="00A705B5"/>
    <w:rsid w:val="00A84B9D"/>
    <w:rsid w:val="00A97B83"/>
    <w:rsid w:val="00AC2F60"/>
    <w:rsid w:val="00AD2243"/>
    <w:rsid w:val="00AF2FED"/>
    <w:rsid w:val="00B0444B"/>
    <w:rsid w:val="00B23305"/>
    <w:rsid w:val="00B2629C"/>
    <w:rsid w:val="00B35856"/>
    <w:rsid w:val="00B742C2"/>
    <w:rsid w:val="00BC0226"/>
    <w:rsid w:val="00BC5ECB"/>
    <w:rsid w:val="00C04696"/>
    <w:rsid w:val="00C21337"/>
    <w:rsid w:val="00C238A0"/>
    <w:rsid w:val="00C31EA3"/>
    <w:rsid w:val="00C3233F"/>
    <w:rsid w:val="00CA6E8E"/>
    <w:rsid w:val="00CF4187"/>
    <w:rsid w:val="00CF43EE"/>
    <w:rsid w:val="00CF60EF"/>
    <w:rsid w:val="00D03B26"/>
    <w:rsid w:val="00D265AF"/>
    <w:rsid w:val="00D6147D"/>
    <w:rsid w:val="00D62CE6"/>
    <w:rsid w:val="00D8161C"/>
    <w:rsid w:val="00D916D7"/>
    <w:rsid w:val="00DA1C45"/>
    <w:rsid w:val="00DD1663"/>
    <w:rsid w:val="00E10F40"/>
    <w:rsid w:val="00E21873"/>
    <w:rsid w:val="00E36CBF"/>
    <w:rsid w:val="00E71A97"/>
    <w:rsid w:val="00E84943"/>
    <w:rsid w:val="00ED53E7"/>
    <w:rsid w:val="00EF0C44"/>
    <w:rsid w:val="00F00E78"/>
    <w:rsid w:val="00F054B8"/>
    <w:rsid w:val="00F2132A"/>
    <w:rsid w:val="00F27446"/>
    <w:rsid w:val="00F46B3C"/>
    <w:rsid w:val="00F90D66"/>
    <w:rsid w:val="00FB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pPr>
      <w:keepNext/>
      <w:jc w:val="center"/>
      <w:outlineLvl w:val="2"/>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C1487"/>
    <w:rPr>
      <w:rFonts w:ascii="Tahoma" w:hAnsi="Tahoma" w:cs="Tahoma"/>
      <w:sz w:val="16"/>
      <w:szCs w:val="16"/>
    </w:rPr>
  </w:style>
  <w:style w:type="paragraph" w:styleId="BodyTextIndent">
    <w:name w:val="Body Text Indent"/>
    <w:basedOn w:val="Normal"/>
    <w:rsid w:val="00937455"/>
    <w:pPr>
      <w:ind w:left="1080"/>
      <w:jc w:val="center"/>
    </w:pPr>
    <w:rPr>
      <w:lang w:val="en-GB"/>
    </w:rPr>
  </w:style>
  <w:style w:type="paragraph" w:styleId="BodyText">
    <w:name w:val="Body Text"/>
    <w:basedOn w:val="Normal"/>
    <w:rsid w:val="00C31EA3"/>
    <w:pPr>
      <w:spacing w:after="120"/>
    </w:pPr>
  </w:style>
  <w:style w:type="paragraph" w:styleId="ListParagraph">
    <w:name w:val="List Paragraph"/>
    <w:basedOn w:val="Normal"/>
    <w:uiPriority w:val="34"/>
    <w:qFormat/>
    <w:rsid w:val="00BC5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3">
    <w:name w:val="heading 3"/>
    <w:basedOn w:val="Normal"/>
    <w:next w:val="Normal"/>
    <w:qFormat/>
    <w:pPr>
      <w:keepNext/>
      <w:jc w:val="center"/>
      <w:outlineLvl w:val="2"/>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C1487"/>
    <w:rPr>
      <w:rFonts w:ascii="Tahoma" w:hAnsi="Tahoma" w:cs="Tahoma"/>
      <w:sz w:val="16"/>
      <w:szCs w:val="16"/>
    </w:rPr>
  </w:style>
  <w:style w:type="paragraph" w:styleId="BodyTextIndent">
    <w:name w:val="Body Text Indent"/>
    <w:basedOn w:val="Normal"/>
    <w:rsid w:val="00937455"/>
    <w:pPr>
      <w:ind w:left="1080"/>
      <w:jc w:val="center"/>
    </w:pPr>
    <w:rPr>
      <w:lang w:val="en-GB"/>
    </w:rPr>
  </w:style>
  <w:style w:type="paragraph" w:styleId="BodyText">
    <w:name w:val="Body Text"/>
    <w:basedOn w:val="Normal"/>
    <w:rsid w:val="00C31EA3"/>
    <w:pPr>
      <w:spacing w:after="120"/>
    </w:pPr>
  </w:style>
  <w:style w:type="paragraph" w:styleId="ListParagraph">
    <w:name w:val="List Paragraph"/>
    <w:basedOn w:val="Normal"/>
    <w:uiPriority w:val="34"/>
    <w:qFormat/>
    <w:rsid w:val="00BC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72451">
      <w:bodyDiv w:val="1"/>
      <w:marLeft w:val="0"/>
      <w:marRight w:val="0"/>
      <w:marTop w:val="0"/>
      <w:marBottom w:val="0"/>
      <w:divBdr>
        <w:top w:val="none" w:sz="0" w:space="0" w:color="auto"/>
        <w:left w:val="none" w:sz="0" w:space="0" w:color="auto"/>
        <w:bottom w:val="none" w:sz="0" w:space="0" w:color="auto"/>
        <w:right w:val="none" w:sz="0" w:space="0" w:color="auto"/>
      </w:divBdr>
    </w:div>
    <w:div w:id="295138706">
      <w:bodyDiv w:val="1"/>
      <w:marLeft w:val="0"/>
      <w:marRight w:val="0"/>
      <w:marTop w:val="0"/>
      <w:marBottom w:val="0"/>
      <w:divBdr>
        <w:top w:val="none" w:sz="0" w:space="0" w:color="auto"/>
        <w:left w:val="none" w:sz="0" w:space="0" w:color="auto"/>
        <w:bottom w:val="none" w:sz="0" w:space="0" w:color="auto"/>
        <w:right w:val="none" w:sz="0" w:space="0" w:color="auto"/>
      </w:divBdr>
    </w:div>
    <w:div w:id="747963503">
      <w:bodyDiv w:val="1"/>
      <w:marLeft w:val="0"/>
      <w:marRight w:val="0"/>
      <w:marTop w:val="0"/>
      <w:marBottom w:val="0"/>
      <w:divBdr>
        <w:top w:val="none" w:sz="0" w:space="0" w:color="auto"/>
        <w:left w:val="none" w:sz="0" w:space="0" w:color="auto"/>
        <w:bottom w:val="none" w:sz="0" w:space="0" w:color="auto"/>
        <w:right w:val="none" w:sz="0" w:space="0" w:color="auto"/>
      </w:divBdr>
    </w:div>
    <w:div w:id="843209411">
      <w:bodyDiv w:val="1"/>
      <w:marLeft w:val="0"/>
      <w:marRight w:val="0"/>
      <w:marTop w:val="0"/>
      <w:marBottom w:val="0"/>
      <w:divBdr>
        <w:top w:val="none" w:sz="0" w:space="0" w:color="auto"/>
        <w:left w:val="none" w:sz="0" w:space="0" w:color="auto"/>
        <w:bottom w:val="none" w:sz="0" w:space="0" w:color="auto"/>
        <w:right w:val="none" w:sz="0" w:space="0" w:color="auto"/>
      </w:divBdr>
    </w:div>
    <w:div w:id="1349798512">
      <w:bodyDiv w:val="1"/>
      <w:marLeft w:val="0"/>
      <w:marRight w:val="0"/>
      <w:marTop w:val="0"/>
      <w:marBottom w:val="0"/>
      <w:divBdr>
        <w:top w:val="none" w:sz="0" w:space="0" w:color="auto"/>
        <w:left w:val="none" w:sz="0" w:space="0" w:color="auto"/>
        <w:bottom w:val="none" w:sz="0" w:space="0" w:color="auto"/>
        <w:right w:val="none" w:sz="0" w:space="0" w:color="auto"/>
      </w:divBdr>
    </w:div>
    <w:div w:id="1500996446">
      <w:bodyDiv w:val="1"/>
      <w:marLeft w:val="0"/>
      <w:marRight w:val="0"/>
      <w:marTop w:val="0"/>
      <w:marBottom w:val="0"/>
      <w:divBdr>
        <w:top w:val="none" w:sz="0" w:space="0" w:color="auto"/>
        <w:left w:val="none" w:sz="0" w:space="0" w:color="auto"/>
        <w:bottom w:val="none" w:sz="0" w:space="0" w:color="auto"/>
        <w:right w:val="none" w:sz="0" w:space="0" w:color="auto"/>
      </w:divBdr>
    </w:div>
    <w:div w:id="1893077185">
      <w:bodyDiv w:val="1"/>
      <w:marLeft w:val="0"/>
      <w:marRight w:val="0"/>
      <w:marTop w:val="0"/>
      <w:marBottom w:val="0"/>
      <w:divBdr>
        <w:top w:val="none" w:sz="0" w:space="0" w:color="auto"/>
        <w:left w:val="none" w:sz="0" w:space="0" w:color="auto"/>
        <w:bottom w:val="none" w:sz="0" w:space="0" w:color="auto"/>
        <w:right w:val="none" w:sz="0" w:space="0" w:color="auto"/>
      </w:divBdr>
    </w:div>
    <w:div w:id="2017733204">
      <w:bodyDiv w:val="1"/>
      <w:marLeft w:val="0"/>
      <w:marRight w:val="0"/>
      <w:marTop w:val="0"/>
      <w:marBottom w:val="0"/>
      <w:divBdr>
        <w:top w:val="none" w:sz="0" w:space="0" w:color="auto"/>
        <w:left w:val="none" w:sz="0" w:space="0" w:color="auto"/>
        <w:bottom w:val="none" w:sz="0" w:space="0" w:color="auto"/>
        <w:right w:val="none" w:sz="0" w:space="0" w:color="auto"/>
      </w:divBdr>
    </w:div>
    <w:div w:id="21149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7BDF5794</Template>
  <TotalTime>0</TotalTime>
  <Pages>1</Pages>
  <Words>256</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Scenario Development and Sustainment, Ref</vt:lpstr>
    </vt:vector>
  </TitlesOfParts>
  <Company>JHQNorth</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Development and Sustainment, Ref</dc:title>
  <dc:creator>Swisher Torunn</dc:creator>
  <cp:lastModifiedBy>JWC SAG BUDFIN PC Haarr, Paal OF-3</cp:lastModifiedBy>
  <cp:revision>2</cp:revision>
  <cp:lastPrinted>2014-07-28T13:05:00Z</cp:lastPrinted>
  <dcterms:created xsi:type="dcterms:W3CDTF">2016-03-11T11:39:00Z</dcterms:created>
  <dcterms:modified xsi:type="dcterms:W3CDTF">2016-03-11T11:39:00Z</dcterms:modified>
</cp:coreProperties>
</file>