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aps/>
        </w:rPr>
        <w:id w:val="790480569"/>
        <w:docPartObj>
          <w:docPartGallery w:val="Cover Pages"/>
          <w:docPartUnique/>
        </w:docPartObj>
      </w:sdtPr>
      <w:sdtEndPr>
        <w:rPr>
          <w:rFonts w:eastAsia="Times New Roman"/>
          <w:caps w:val="0"/>
        </w:rPr>
      </w:sdtEndPr>
      <w:sdtContent>
        <w:tbl>
          <w:tblPr>
            <w:tblW w:w="5205" w:type="pct"/>
            <w:jc w:val="center"/>
            <w:tblInd w:w="-201" w:type="dxa"/>
            <w:tblLook w:val="04A0" w:firstRow="1" w:lastRow="0" w:firstColumn="1" w:lastColumn="0" w:noHBand="0" w:noVBand="1"/>
          </w:tblPr>
          <w:tblGrid>
            <w:gridCol w:w="200"/>
            <w:gridCol w:w="8671"/>
          </w:tblGrid>
          <w:tr w:rsidR="0001488D" w:rsidRPr="001A0E33" w:rsidTr="001E1FC5">
            <w:trPr>
              <w:gridBefore w:val="1"/>
              <w:wBefore w:w="113" w:type="pct"/>
              <w:trHeight w:val="2880"/>
              <w:jc w:val="center"/>
            </w:trPr>
            <w:tc>
              <w:tcPr>
                <w:tcW w:w="4887" w:type="pct"/>
              </w:tcPr>
              <w:p w:rsidR="00983947" w:rsidRPr="001A0E33" w:rsidRDefault="00983947" w:rsidP="003B2B9F">
                <w:pPr>
                  <w:tabs>
                    <w:tab w:val="left" w:pos="1200"/>
                  </w:tabs>
                  <w:rPr>
                    <w:rFonts w:ascii="Arial" w:eastAsiaTheme="majorEastAsia" w:hAnsi="Arial" w:cs="Arial"/>
                    <w:lang w:val="en-US" w:eastAsia="ja-JP"/>
                  </w:rPr>
                </w:pPr>
              </w:p>
              <w:p w:rsidR="00983947" w:rsidRPr="001A0E33" w:rsidRDefault="00983947" w:rsidP="00983947">
                <w:pPr>
                  <w:rPr>
                    <w:rFonts w:ascii="Arial" w:eastAsiaTheme="majorEastAsia" w:hAnsi="Arial" w:cs="Arial"/>
                    <w:lang w:val="en-US" w:eastAsia="ja-JP"/>
                  </w:rPr>
                </w:pPr>
              </w:p>
              <w:p w:rsidR="00983947" w:rsidRPr="001A0E33" w:rsidRDefault="00983947" w:rsidP="00983947">
                <w:pPr>
                  <w:rPr>
                    <w:rFonts w:ascii="Arial" w:eastAsiaTheme="majorEastAsia" w:hAnsi="Arial" w:cs="Arial"/>
                    <w:lang w:val="en-US" w:eastAsia="ja-JP"/>
                  </w:rPr>
                </w:pPr>
                <w:r w:rsidRPr="001A0E33">
                  <w:rPr>
                    <w:rFonts w:ascii="Arial" w:hAnsi="Arial" w:cs="Arial"/>
                    <w:noProof/>
                    <w:lang w:val="en-US"/>
                  </w:rPr>
                  <w:drawing>
                    <wp:anchor distT="0" distB="0" distL="114300" distR="114300" simplePos="0" relativeHeight="251673088" behindDoc="0" locked="0" layoutInCell="1" allowOverlap="1" wp14:anchorId="154AE556" wp14:editId="754CCA31">
                      <wp:simplePos x="0" y="0"/>
                      <wp:positionH relativeFrom="column">
                        <wp:posOffset>-32385</wp:posOffset>
                      </wp:positionH>
                      <wp:positionV relativeFrom="paragraph">
                        <wp:posOffset>163830</wp:posOffset>
                      </wp:positionV>
                      <wp:extent cx="579120" cy="1151890"/>
                      <wp:effectExtent l="0" t="0" r="0" b="0"/>
                      <wp:wrapNone/>
                      <wp:docPr id="5" name="Picture 5" descr="NATOver_CMY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ver_CMYK_H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33">
                  <w:rPr>
                    <w:rFonts w:ascii="Arial" w:hAnsi="Arial" w:cs="Arial"/>
                    <w:b/>
                    <w:caps/>
                    <w:noProof/>
                    <w:sz w:val="32"/>
                    <w:lang w:val="en-US"/>
                  </w:rPr>
                  <w:drawing>
                    <wp:anchor distT="0" distB="0" distL="114300" distR="114300" simplePos="0" relativeHeight="251675136" behindDoc="1" locked="0" layoutInCell="1" allowOverlap="1" wp14:anchorId="1DF5A241" wp14:editId="735E5307">
                      <wp:simplePos x="0" y="0"/>
                      <wp:positionH relativeFrom="column">
                        <wp:posOffset>4399280</wp:posOffset>
                      </wp:positionH>
                      <wp:positionV relativeFrom="page">
                        <wp:posOffset>514350</wp:posOffset>
                      </wp:positionV>
                      <wp:extent cx="866775" cy="1012190"/>
                      <wp:effectExtent l="0" t="0" r="9525" b="0"/>
                      <wp:wrapThrough wrapText="bothSides">
                        <wp:wrapPolygon edited="0">
                          <wp:start x="0" y="0"/>
                          <wp:lineTo x="0" y="21139"/>
                          <wp:lineTo x="21363" y="21139"/>
                          <wp:lineTo x="21363" y="0"/>
                          <wp:lineTo x="0" y="0"/>
                        </wp:wrapPolygon>
                      </wp:wrapThrough>
                      <wp:docPr id="19" name="Picture 19" descr="H:\My Documents\jwc_ikm\templates\JWC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jwc_ikm\templates\JWC FINA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947" w:rsidRPr="001A0E33" w:rsidRDefault="00983947" w:rsidP="00983947">
                <w:pPr>
                  <w:rPr>
                    <w:rFonts w:ascii="Arial" w:eastAsiaTheme="majorEastAsia" w:hAnsi="Arial" w:cs="Arial"/>
                    <w:lang w:val="en-US" w:eastAsia="ja-JP"/>
                  </w:rPr>
                </w:pPr>
              </w:p>
              <w:p w:rsidR="00983947" w:rsidRPr="001A0E33" w:rsidRDefault="00983947" w:rsidP="00983947">
                <w:pPr>
                  <w:tabs>
                    <w:tab w:val="left" w:pos="851"/>
                    <w:tab w:val="left" w:pos="1134"/>
                    <w:tab w:val="left" w:pos="1418"/>
                  </w:tabs>
                  <w:jc w:val="center"/>
                  <w:rPr>
                    <w:rFonts w:ascii="Arial" w:hAnsi="Arial" w:cs="Arial"/>
                    <w:b/>
                    <w:caps/>
                  </w:rPr>
                </w:pPr>
                <w:r w:rsidRPr="001A0E33">
                  <w:rPr>
                    <w:rFonts w:ascii="Arial" w:eastAsiaTheme="majorEastAsia" w:hAnsi="Arial" w:cs="Arial"/>
                    <w:lang w:val="en-US" w:eastAsia="ja-JP"/>
                  </w:rPr>
                  <w:t xml:space="preserve">                       </w:t>
                </w:r>
                <w:r w:rsidRPr="001A0E33">
                  <w:rPr>
                    <w:rFonts w:ascii="Arial" w:hAnsi="Arial" w:cs="Arial"/>
                    <w:b/>
                    <w:caps/>
                  </w:rPr>
                  <w:t>Joint  Warfare  Centre</w:t>
                </w:r>
              </w:p>
              <w:p w:rsidR="00983947" w:rsidRPr="001A0E33" w:rsidRDefault="00983947" w:rsidP="00983947">
                <w:pPr>
                  <w:tabs>
                    <w:tab w:val="left" w:pos="851"/>
                    <w:tab w:val="left" w:pos="1134"/>
                    <w:tab w:val="left" w:pos="1418"/>
                  </w:tabs>
                  <w:jc w:val="center"/>
                  <w:rPr>
                    <w:rFonts w:ascii="Arial" w:hAnsi="Arial" w:cs="Arial"/>
                    <w:b/>
                    <w:caps/>
                  </w:rPr>
                </w:pPr>
              </w:p>
              <w:p w:rsidR="00983947" w:rsidRPr="001A0E33" w:rsidRDefault="00983947" w:rsidP="00983947">
                <w:pPr>
                  <w:tabs>
                    <w:tab w:val="left" w:pos="851"/>
                    <w:tab w:val="left" w:pos="1134"/>
                    <w:tab w:val="left" w:pos="1418"/>
                  </w:tabs>
                  <w:jc w:val="center"/>
                  <w:rPr>
                    <w:rFonts w:ascii="Arial" w:hAnsi="Arial" w:cs="Arial"/>
                    <w:smallCaps/>
                  </w:rPr>
                </w:pPr>
                <w:r w:rsidRPr="001A0E33">
                  <w:rPr>
                    <w:rFonts w:ascii="Arial" w:hAnsi="Arial" w:cs="Arial"/>
                    <w:smallCaps/>
                    <w:sz w:val="20"/>
                  </w:rPr>
                  <w:t xml:space="preserve">                       Eikesetveien  29  –  PB  8080  –  4068  Stavanger  –  Norway</w:t>
                </w:r>
              </w:p>
              <w:p w:rsidR="00983947" w:rsidRPr="001A0E33" w:rsidRDefault="00983947" w:rsidP="00983947">
                <w:pPr>
                  <w:tabs>
                    <w:tab w:val="left" w:pos="7185"/>
                  </w:tabs>
                  <w:rPr>
                    <w:rFonts w:ascii="Arial" w:eastAsiaTheme="majorEastAsia" w:hAnsi="Arial" w:cs="Arial"/>
                    <w:lang w:val="en-US" w:eastAsia="ja-JP"/>
                  </w:rPr>
                </w:pPr>
                <w:r w:rsidRPr="001A0E33">
                  <w:rPr>
                    <w:rFonts w:ascii="Arial" w:eastAsiaTheme="majorEastAsia" w:hAnsi="Arial" w:cs="Arial"/>
                    <w:lang w:val="en-US" w:eastAsia="ja-JP"/>
                  </w:rPr>
                  <w:tab/>
                </w:r>
              </w:p>
              <w:p w:rsidR="003B2B9F" w:rsidRPr="001A0E33" w:rsidRDefault="00983947" w:rsidP="00983947">
                <w:pPr>
                  <w:tabs>
                    <w:tab w:val="left" w:pos="960"/>
                  </w:tabs>
                  <w:rPr>
                    <w:rFonts w:ascii="Arial" w:eastAsiaTheme="majorEastAsia" w:hAnsi="Arial" w:cs="Arial"/>
                    <w:lang w:val="en-US" w:eastAsia="ja-JP"/>
                  </w:rPr>
                </w:pPr>
                <w:r w:rsidRPr="001A0E33">
                  <w:rPr>
                    <w:rFonts w:ascii="Arial" w:eastAsiaTheme="majorEastAsia" w:hAnsi="Arial" w:cs="Arial"/>
                    <w:lang w:val="en-US" w:eastAsia="ja-JP"/>
                  </w:rPr>
                  <w:tab/>
                </w:r>
              </w:p>
            </w:tc>
          </w:tr>
          <w:tr w:rsidR="0001488D" w:rsidRPr="001A0E33" w:rsidTr="001E1FC5">
            <w:trPr>
              <w:gridBefore w:val="1"/>
              <w:wBefore w:w="113" w:type="pct"/>
              <w:trHeight w:val="1440"/>
              <w:jc w:val="center"/>
            </w:trPr>
            <w:sdt>
              <w:sdtPr>
                <w:rPr>
                  <w:rFonts w:ascii="Arial" w:eastAsiaTheme="majorEastAsia" w:hAnsi="Arial" w:cs="Arial"/>
                  <w:sz w:val="50"/>
                  <w:szCs w:val="5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4887" w:type="pct"/>
                    <w:tcBorders>
                      <w:bottom w:val="single" w:sz="4" w:space="0" w:color="4F81BD" w:themeColor="accent1"/>
                    </w:tcBorders>
                    <w:vAlign w:val="center"/>
                  </w:tcPr>
                  <w:p w:rsidR="0001488D" w:rsidRPr="001A0E33" w:rsidRDefault="00983947" w:rsidP="00C60A62">
                    <w:pPr>
                      <w:pStyle w:val="NoSpacing"/>
                      <w:jc w:val="center"/>
                      <w:rPr>
                        <w:rFonts w:ascii="Arial" w:eastAsiaTheme="majorEastAsia" w:hAnsi="Arial" w:cs="Arial"/>
                        <w:sz w:val="80"/>
                        <w:szCs w:val="80"/>
                      </w:rPr>
                    </w:pPr>
                    <w:r w:rsidRPr="001A0E33">
                      <w:rPr>
                        <w:rFonts w:ascii="Arial" w:eastAsiaTheme="majorEastAsia" w:hAnsi="Arial" w:cs="Arial"/>
                        <w:sz w:val="50"/>
                        <w:szCs w:val="50"/>
                      </w:rPr>
                      <w:t>IFIB-ACT-JWC-18-33</w:t>
                    </w:r>
                  </w:p>
                </w:tc>
              </w:sdtContent>
            </w:sdt>
          </w:tr>
          <w:tr w:rsidR="0001488D" w:rsidRPr="001A0E33" w:rsidTr="001E1FC5">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gridSpan w:val="2"/>
                    <w:tcBorders>
                      <w:top w:val="single" w:sz="4" w:space="0" w:color="4F81BD" w:themeColor="accent1"/>
                    </w:tcBorders>
                    <w:vAlign w:val="center"/>
                  </w:tcPr>
                  <w:p w:rsidR="0001488D" w:rsidRPr="001A0E33" w:rsidRDefault="00CA062E" w:rsidP="00CA062E">
                    <w:pPr>
                      <w:pStyle w:val="NoSpacing"/>
                      <w:jc w:val="center"/>
                      <w:rPr>
                        <w:rFonts w:ascii="Arial" w:eastAsiaTheme="majorEastAsia" w:hAnsi="Arial" w:cs="Arial"/>
                        <w:sz w:val="44"/>
                        <w:szCs w:val="44"/>
                      </w:rPr>
                    </w:pPr>
                    <w:r w:rsidRPr="001A0E33">
                      <w:rPr>
                        <w:rFonts w:ascii="Arial" w:eastAsiaTheme="majorEastAsia" w:hAnsi="Arial" w:cs="Arial"/>
                        <w:sz w:val="44"/>
                        <w:szCs w:val="44"/>
                      </w:rPr>
                      <w:t>Questions &amp; Answers 0001</w:t>
                    </w:r>
                  </w:p>
                </w:tc>
              </w:sdtContent>
            </w:sdt>
          </w:tr>
          <w:tr w:rsidR="0001488D" w:rsidRPr="001A0E33" w:rsidTr="001E1FC5">
            <w:trPr>
              <w:gridBefore w:val="1"/>
              <w:wBefore w:w="113" w:type="pct"/>
              <w:trHeight w:val="360"/>
              <w:jc w:val="center"/>
            </w:trPr>
            <w:tc>
              <w:tcPr>
                <w:tcW w:w="4887" w:type="pct"/>
                <w:vAlign w:val="center"/>
              </w:tcPr>
              <w:p w:rsidR="0001488D" w:rsidRPr="001A0E33" w:rsidRDefault="0001488D">
                <w:pPr>
                  <w:pStyle w:val="NoSpacing"/>
                  <w:jc w:val="center"/>
                  <w:rPr>
                    <w:rFonts w:ascii="Arial" w:hAnsi="Arial" w:cs="Arial"/>
                  </w:rPr>
                </w:pPr>
              </w:p>
            </w:tc>
          </w:tr>
          <w:tr w:rsidR="0001488D" w:rsidRPr="001A0E33" w:rsidTr="001E1FC5">
            <w:trPr>
              <w:gridBefore w:val="1"/>
              <w:wBefore w:w="113" w:type="pct"/>
              <w:trHeight w:val="360"/>
              <w:jc w:val="center"/>
            </w:trPr>
            <w:tc>
              <w:tcPr>
                <w:tcW w:w="4887" w:type="pct"/>
                <w:vAlign w:val="center"/>
              </w:tcPr>
              <w:p w:rsidR="0001488D" w:rsidRPr="001A0E33" w:rsidRDefault="00CA062E">
                <w:pPr>
                  <w:pStyle w:val="NoSpacing"/>
                  <w:jc w:val="center"/>
                  <w:rPr>
                    <w:rFonts w:ascii="Arial" w:hAnsi="Arial" w:cs="Arial"/>
                    <w:b/>
                    <w:bCs/>
                  </w:rPr>
                </w:pPr>
                <w:r w:rsidRPr="001A0E33">
                  <w:rPr>
                    <w:rFonts w:ascii="Arial" w:hAnsi="Arial" w:cs="Arial"/>
                    <w:b/>
                    <w:bCs/>
                  </w:rPr>
                  <w:t>Date: xx May 2018</w:t>
                </w:r>
              </w:p>
            </w:tc>
          </w:tr>
          <w:tr w:rsidR="0001488D" w:rsidRPr="001A0E33" w:rsidTr="001E1FC5">
            <w:trPr>
              <w:gridBefore w:val="1"/>
              <w:wBefore w:w="113" w:type="pct"/>
              <w:trHeight w:val="360"/>
              <w:jc w:val="center"/>
            </w:trPr>
            <w:tc>
              <w:tcPr>
                <w:tcW w:w="4887" w:type="pct"/>
                <w:vAlign w:val="center"/>
              </w:tcPr>
              <w:p w:rsidR="0001488D" w:rsidRPr="001A0E33" w:rsidRDefault="0001488D">
                <w:pPr>
                  <w:pStyle w:val="NoSpacing"/>
                  <w:jc w:val="center"/>
                  <w:rPr>
                    <w:rFonts w:ascii="Arial" w:hAnsi="Arial" w:cs="Arial"/>
                    <w:b/>
                    <w:bCs/>
                    <w:lang w:val="en-GB"/>
                  </w:rPr>
                </w:pPr>
              </w:p>
            </w:tc>
          </w:tr>
        </w:tbl>
        <w:p w:rsidR="00CA062E" w:rsidRPr="001A0E33" w:rsidRDefault="00CA062E" w:rsidP="004E076E">
          <w:pPr>
            <w:pStyle w:val="Heading1"/>
            <w:spacing w:after="120"/>
            <w:jc w:val="left"/>
            <w:rPr>
              <w:rFonts w:ascii="Arial" w:hAnsi="Arial" w:cs="Arial"/>
            </w:rPr>
          </w:pPr>
          <w:r w:rsidRPr="001A0E33">
            <w:rPr>
              <w:rFonts w:ascii="Arial" w:hAnsi="Arial" w:cs="Arial"/>
              <w:b w:val="0"/>
            </w:rPr>
            <w:t xml:space="preserve">The following questions have been raised with respect to the subject IFIB. Response is to provide clarification;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4282"/>
            <w:gridCol w:w="5580"/>
          </w:tblGrid>
          <w:tr w:rsidR="00CA062E" w:rsidRPr="001A0E33" w:rsidTr="009F17E6">
            <w:tc>
              <w:tcPr>
                <w:tcW w:w="578"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w:t>
                </w:r>
              </w:p>
            </w:tc>
            <w:tc>
              <w:tcPr>
                <w:tcW w:w="4282"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Question</w:t>
                </w:r>
              </w:p>
            </w:tc>
            <w:tc>
              <w:tcPr>
                <w:tcW w:w="5580"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Response</w:t>
                </w:r>
              </w:p>
            </w:tc>
          </w:tr>
          <w:tr w:rsidR="00CA062E" w:rsidRPr="001A0E33" w:rsidTr="009F17E6">
            <w:tc>
              <w:tcPr>
                <w:tcW w:w="578" w:type="dxa"/>
              </w:tcPr>
              <w:p w:rsidR="00CA062E" w:rsidRPr="001A0E33" w:rsidRDefault="009F17E6" w:rsidP="00101B9E">
                <w:pPr>
                  <w:rPr>
                    <w:rFonts w:ascii="Arial" w:hAnsi="Arial" w:cs="Arial"/>
                    <w:sz w:val="22"/>
                    <w:szCs w:val="22"/>
                  </w:rPr>
                </w:pPr>
                <w:r w:rsidRPr="001A0E33">
                  <w:rPr>
                    <w:rFonts w:ascii="Arial" w:hAnsi="Arial" w:cs="Arial"/>
                    <w:sz w:val="22"/>
                    <w:szCs w:val="22"/>
                  </w:rPr>
                  <w:t>0</w:t>
                </w:r>
                <w:r w:rsidR="00CA062E" w:rsidRPr="001A0E33">
                  <w:rPr>
                    <w:rFonts w:ascii="Arial" w:hAnsi="Arial" w:cs="Arial"/>
                    <w:sz w:val="22"/>
                    <w:szCs w:val="22"/>
                  </w:rPr>
                  <w:t>1</w:t>
                </w:r>
              </w:p>
            </w:tc>
            <w:tc>
              <w:tcPr>
                <w:tcW w:w="4282" w:type="dxa"/>
              </w:tcPr>
              <w:p w:rsidR="009F17E6" w:rsidRPr="001A0E33" w:rsidRDefault="009F17E6" w:rsidP="009F17E6">
                <w:pPr>
                  <w:rPr>
                    <w:rFonts w:ascii="Arial" w:hAnsi="Arial" w:cs="Arial"/>
                    <w:b/>
                    <w:bCs/>
                    <w:color w:val="4F81BD" w:themeColor="accent1"/>
                    <w:sz w:val="22"/>
                    <w:szCs w:val="22"/>
                    <w:lang w:val="sl-SI"/>
                  </w:rPr>
                </w:pPr>
                <w:r w:rsidRPr="001A0E33">
                  <w:rPr>
                    <w:rFonts w:ascii="Arial" w:hAnsi="Arial" w:cs="Arial"/>
                    <w:color w:val="4F81BD" w:themeColor="accent1"/>
                    <w:sz w:val="22"/>
                    <w:szCs w:val="22"/>
                    <w:u w:val="single"/>
                    <w:lang w:val="sl-SI"/>
                  </w:rPr>
                  <w:t>PART I BIDDING INSTRUCTIONS, ANNEX A-6, para. 2:</w:t>
                </w:r>
                <w:r w:rsidRPr="001A0E33">
                  <w:rPr>
                    <w:rFonts w:ascii="Arial" w:hAnsi="Arial" w:cs="Arial"/>
                    <w:color w:val="4F81BD" w:themeColor="accent1"/>
                    <w:sz w:val="22"/>
                    <w:szCs w:val="22"/>
                    <w:lang w:val="sl-SI"/>
                  </w:rPr>
                  <w:t xml:space="preserve"> The Suplier is therefore paid after the product is finalised (x in the Production Plan, approved by JWC). Based on many SCTs, the finalised products will be dlivered after 6 to 9 months, after the contract starts (1 OCT 2018), while consultations and liaison is an ongoin process. </w:t>
                </w:r>
              </w:p>
              <w:p w:rsidR="009F17E6" w:rsidRPr="001A0E33" w:rsidRDefault="009F17E6" w:rsidP="009F17E6">
                <w:pPr>
                  <w:rPr>
                    <w:rFonts w:ascii="Arial" w:hAnsi="Arial" w:cs="Arial"/>
                    <w:bCs/>
                    <w:color w:val="4F81BD" w:themeColor="accent1"/>
                    <w:sz w:val="22"/>
                    <w:szCs w:val="22"/>
                    <w:lang w:val="sl-SI"/>
                  </w:rPr>
                </w:pPr>
                <w:r w:rsidRPr="001A0E33">
                  <w:rPr>
                    <w:rFonts w:ascii="Arial" w:hAnsi="Arial" w:cs="Arial"/>
                    <w:bCs/>
                    <w:color w:val="4F81BD" w:themeColor="accent1"/>
                    <w:sz w:val="22"/>
                    <w:szCs w:val="22"/>
                    <w:lang w:val="sl-SI"/>
                  </w:rPr>
                  <w:t>Is JWC paying the Supplier monthly or after the Product is approved by JWC? If so, how is the Supplier paid, when it comes to daily IDMI (consultancy, liaison) and IDMI travels to JWC, starting from 1th of OCT 2018?</w:t>
                </w:r>
              </w:p>
              <w:p w:rsidR="00CA062E" w:rsidRPr="001A0E33" w:rsidRDefault="00CA062E" w:rsidP="00101B9E">
                <w:pPr>
                  <w:rPr>
                    <w:rFonts w:ascii="Arial" w:hAnsi="Arial" w:cs="Arial"/>
                    <w:sz w:val="22"/>
                    <w:szCs w:val="22"/>
                    <w:lang w:val="sl-SI"/>
                  </w:rPr>
                </w:pPr>
              </w:p>
            </w:tc>
            <w:tc>
              <w:tcPr>
                <w:tcW w:w="5580" w:type="dxa"/>
              </w:tcPr>
              <w:p w:rsidR="00CA062E" w:rsidRPr="001A0E33" w:rsidRDefault="00101B9E" w:rsidP="00101B9E">
                <w:pPr>
                  <w:rPr>
                    <w:rFonts w:ascii="Arial" w:hAnsi="Arial" w:cs="Arial"/>
                    <w:sz w:val="22"/>
                    <w:szCs w:val="22"/>
                  </w:rPr>
                </w:pPr>
                <w:r w:rsidRPr="001A0E33">
                  <w:rPr>
                    <w:rFonts w:ascii="Arial" w:hAnsi="Arial" w:cs="Arial"/>
                    <w:sz w:val="22"/>
                    <w:szCs w:val="22"/>
                  </w:rPr>
                  <w:t>Supplier payment</w:t>
                </w:r>
                <w:r w:rsidR="00F40613">
                  <w:rPr>
                    <w:rFonts w:ascii="Arial" w:hAnsi="Arial" w:cs="Arial"/>
                    <w:sz w:val="22"/>
                    <w:szCs w:val="22"/>
                  </w:rPr>
                  <w:t>s</w:t>
                </w:r>
                <w:r w:rsidRPr="001A0E33">
                  <w:rPr>
                    <w:rFonts w:ascii="Arial" w:hAnsi="Arial" w:cs="Arial"/>
                    <w:sz w:val="22"/>
                    <w:szCs w:val="22"/>
                  </w:rPr>
                  <w:t xml:space="preserve"> will be subject to negotiations between JWC and provider after the contract has been awarded.</w:t>
                </w:r>
                <w:r w:rsidR="00F40613">
                  <w:rPr>
                    <w:rFonts w:ascii="Arial" w:hAnsi="Arial" w:cs="Arial"/>
                    <w:sz w:val="22"/>
                    <w:szCs w:val="22"/>
                  </w:rPr>
                  <w:t xml:space="preserve"> It is understood that cash-flow is of relevance. </w:t>
                </w:r>
                <w:r w:rsidRPr="001A0E33">
                  <w:rPr>
                    <w:rFonts w:ascii="Arial" w:hAnsi="Arial" w:cs="Arial"/>
                    <w:sz w:val="22"/>
                    <w:szCs w:val="22"/>
                  </w:rPr>
                  <w:t xml:space="preserve">  </w:t>
                </w:r>
              </w:p>
              <w:p w:rsidR="00CA062E" w:rsidRPr="001A0E33" w:rsidRDefault="00CA062E" w:rsidP="00101B9E">
                <w:pPr>
                  <w:rPr>
                    <w:rFonts w:ascii="Arial" w:hAnsi="Arial" w:cs="Arial"/>
                    <w:sz w:val="22"/>
                    <w:szCs w:val="22"/>
                  </w:rPr>
                </w:pPr>
              </w:p>
            </w:tc>
          </w:tr>
          <w:tr w:rsidR="00CA062E" w:rsidRPr="00843200" w:rsidTr="009F17E6">
            <w:tc>
              <w:tcPr>
                <w:tcW w:w="578" w:type="dxa"/>
              </w:tcPr>
              <w:p w:rsidR="00CA062E" w:rsidRPr="001A0E33" w:rsidRDefault="00CA062E" w:rsidP="00101B9E">
                <w:pPr>
                  <w:rPr>
                    <w:rFonts w:ascii="Arial" w:hAnsi="Arial" w:cs="Arial"/>
                    <w:sz w:val="22"/>
                    <w:szCs w:val="22"/>
                  </w:rPr>
                </w:pPr>
                <w:r w:rsidRPr="001A0E33">
                  <w:rPr>
                    <w:rFonts w:ascii="Arial" w:hAnsi="Arial" w:cs="Arial"/>
                    <w:sz w:val="22"/>
                    <w:szCs w:val="22"/>
                  </w:rPr>
                  <w:t>02</w:t>
                </w:r>
              </w:p>
            </w:tc>
            <w:tc>
              <w:tcPr>
                <w:tcW w:w="4282" w:type="dxa"/>
              </w:tcPr>
              <w:p w:rsidR="009F17E6" w:rsidRPr="001A0E33" w:rsidRDefault="009F17E6" w:rsidP="009F17E6">
                <w:pPr>
                  <w:rPr>
                    <w:rFonts w:ascii="Arial" w:hAnsi="Arial" w:cs="Arial"/>
                    <w:color w:val="4F81BD" w:themeColor="accent1"/>
                    <w:sz w:val="22"/>
                    <w:szCs w:val="22"/>
                    <w:lang w:val="sl-SI"/>
                  </w:rPr>
                </w:pPr>
                <w:r w:rsidRPr="001A0E33">
                  <w:rPr>
                    <w:rFonts w:ascii="Arial" w:hAnsi="Arial" w:cs="Arial"/>
                    <w:color w:val="4F81BD" w:themeColor="accent1"/>
                    <w:sz w:val="22"/>
                    <w:szCs w:val="22"/>
                    <w:lang w:val="sl-SI"/>
                  </w:rPr>
                  <w:t xml:space="preserve">PART II SECTION B – PER NATURE OF THE CONTRACT, page 41, 7.Travels: Based on the COTR requirements every travel under this contract has to be approved by the the Contracting Officer and Travel Request form must be filled out. </w:t>
                </w:r>
              </w:p>
              <w:p w:rsidR="00CA062E" w:rsidRPr="001A0E33" w:rsidRDefault="009F17E6" w:rsidP="001A0E33">
                <w:pPr>
                  <w:rPr>
                    <w:rFonts w:ascii="Arial" w:hAnsi="Arial" w:cs="Arial"/>
                    <w:bCs/>
                    <w:color w:val="4F81BD" w:themeColor="accent1"/>
                    <w:sz w:val="22"/>
                    <w:szCs w:val="22"/>
                    <w:lang w:val="sl-SI"/>
                  </w:rPr>
                </w:pPr>
                <w:r w:rsidRPr="001A0E33">
                  <w:rPr>
                    <w:rFonts w:ascii="Arial" w:hAnsi="Arial" w:cs="Arial"/>
                    <w:bCs/>
                    <w:color w:val="4F81BD" w:themeColor="accent1"/>
                    <w:sz w:val="22"/>
                    <w:szCs w:val="22"/>
                    <w:lang w:val="sl-SI"/>
                  </w:rPr>
                  <w:t xml:space="preserve">If so, how is it possible to execute  'ad hoc' 24 ur travel of the Supppliers SMEs locations to JWC, for IDMI context (page </w:t>
                </w:r>
                <w:r w:rsidRPr="001A0E33">
                  <w:rPr>
                    <w:rFonts w:ascii="Arial" w:hAnsi="Arial" w:cs="Arial"/>
                    <w:bCs/>
                    <w:color w:val="4F81BD" w:themeColor="accent1"/>
                    <w:sz w:val="22"/>
                    <w:szCs w:val="22"/>
                    <w:lang w:val="sl-SI"/>
                  </w:rPr>
                  <w:lastRenderedPageBreak/>
                  <w:t>53, para. 1.4.2.2)?</w:t>
                </w:r>
              </w:p>
            </w:tc>
            <w:tc>
              <w:tcPr>
                <w:tcW w:w="5580" w:type="dxa"/>
              </w:tcPr>
              <w:p w:rsidR="00AA7795" w:rsidRDefault="00AA7795" w:rsidP="009F17E6">
                <w:pPr>
                  <w:pStyle w:val="BodyText"/>
                  <w:rPr>
                    <w:rFonts w:ascii="Arial" w:hAnsi="Arial" w:cs="Arial"/>
                    <w:sz w:val="22"/>
                    <w:szCs w:val="22"/>
                  </w:rPr>
                </w:pPr>
                <w:r>
                  <w:rPr>
                    <w:rFonts w:ascii="Arial" w:hAnsi="Arial" w:cs="Arial"/>
                    <w:sz w:val="22"/>
                    <w:szCs w:val="22"/>
                  </w:rPr>
                  <w:lastRenderedPageBreak/>
                  <w:t xml:space="preserve">Only </w:t>
                </w:r>
                <w:r w:rsidRPr="00AA7795">
                  <w:rPr>
                    <w:rFonts w:ascii="Arial" w:hAnsi="Arial" w:cs="Arial"/>
                    <w:i/>
                    <w:sz w:val="22"/>
                    <w:szCs w:val="22"/>
                  </w:rPr>
                  <w:t>tasked travel</w:t>
                </w:r>
                <w:r>
                  <w:rPr>
                    <w:rFonts w:ascii="Arial" w:hAnsi="Arial" w:cs="Arial"/>
                    <w:i/>
                    <w:sz w:val="22"/>
                    <w:szCs w:val="22"/>
                  </w:rPr>
                  <w:t>s</w:t>
                </w:r>
                <w:r>
                  <w:rPr>
                    <w:rFonts w:ascii="Arial" w:hAnsi="Arial" w:cs="Arial"/>
                    <w:sz w:val="22"/>
                    <w:szCs w:val="22"/>
                  </w:rPr>
                  <w:t xml:space="preserve"> will be based on COTR’s identified requirements and approved by the Contracting Officer. </w:t>
                </w:r>
              </w:p>
              <w:p w:rsidR="00532D29" w:rsidRDefault="001A0E33" w:rsidP="009F17E6">
                <w:pPr>
                  <w:pStyle w:val="BodyText"/>
                  <w:rPr>
                    <w:rFonts w:ascii="Arial" w:hAnsi="Arial" w:cs="Arial"/>
                    <w:sz w:val="22"/>
                    <w:szCs w:val="22"/>
                  </w:rPr>
                </w:pPr>
                <w:r w:rsidRPr="001A0E33">
                  <w:rPr>
                    <w:rFonts w:ascii="Arial" w:hAnsi="Arial" w:cs="Arial"/>
                    <w:sz w:val="22"/>
                    <w:szCs w:val="22"/>
                  </w:rPr>
                  <w:t xml:space="preserve">Tasked travels are travels the provider is </w:t>
                </w:r>
                <w:r w:rsidR="00532D29">
                  <w:rPr>
                    <w:rFonts w:ascii="Arial" w:hAnsi="Arial" w:cs="Arial"/>
                    <w:sz w:val="22"/>
                    <w:szCs w:val="22"/>
                  </w:rPr>
                  <w:t xml:space="preserve">specifically </w:t>
                </w:r>
                <w:r w:rsidR="002B5BA8">
                  <w:rPr>
                    <w:rFonts w:ascii="Arial" w:hAnsi="Arial" w:cs="Arial"/>
                    <w:sz w:val="22"/>
                    <w:szCs w:val="22"/>
                  </w:rPr>
                  <w:t>asked to do on behalf of JWC,</w:t>
                </w:r>
                <w:r w:rsidRPr="001A0E33">
                  <w:rPr>
                    <w:rFonts w:ascii="Arial" w:hAnsi="Arial" w:cs="Arial"/>
                    <w:sz w:val="22"/>
                    <w:szCs w:val="22"/>
                  </w:rPr>
                  <w:t xml:space="preserve"> will be fully reimbursed</w:t>
                </w:r>
                <w:r w:rsidR="002B5BA8">
                  <w:rPr>
                    <w:rFonts w:ascii="Arial" w:hAnsi="Arial" w:cs="Arial"/>
                    <w:sz w:val="22"/>
                    <w:szCs w:val="22"/>
                  </w:rPr>
                  <w:t xml:space="preserve"> and</w:t>
                </w:r>
                <w:r w:rsidR="002B5BA8" w:rsidRPr="002B5BA8">
                  <w:rPr>
                    <w:rFonts w:ascii="Arial" w:hAnsi="Arial" w:cs="Arial"/>
                    <w:sz w:val="22"/>
                    <w:szCs w:val="22"/>
                  </w:rPr>
                  <w:t xml:space="preserve"> will be negotiated separately between JWC and the supplier on an as needed basis.</w:t>
                </w:r>
              </w:p>
              <w:p w:rsidR="001A0E33" w:rsidRPr="001A0E33" w:rsidRDefault="00853B67" w:rsidP="009F17E6">
                <w:pPr>
                  <w:pStyle w:val="BodyText"/>
                  <w:rPr>
                    <w:rFonts w:ascii="Arial" w:hAnsi="Arial" w:cs="Arial"/>
                    <w:sz w:val="22"/>
                    <w:szCs w:val="22"/>
                  </w:rPr>
                </w:pPr>
                <w:r>
                  <w:rPr>
                    <w:rFonts w:ascii="Arial" w:hAnsi="Arial" w:cs="Arial"/>
                    <w:sz w:val="22"/>
                    <w:szCs w:val="22"/>
                  </w:rPr>
                  <w:t>Tasked travels are</w:t>
                </w:r>
                <w:r w:rsidR="001A0E33" w:rsidRPr="001A0E33">
                  <w:rPr>
                    <w:rFonts w:ascii="Arial" w:hAnsi="Arial" w:cs="Arial"/>
                    <w:sz w:val="22"/>
                    <w:szCs w:val="22"/>
                  </w:rPr>
                  <w:t xml:space="preserve"> not to be mixed with</w:t>
                </w:r>
                <w:r w:rsidR="00843200">
                  <w:rPr>
                    <w:rFonts w:ascii="Arial" w:hAnsi="Arial" w:cs="Arial"/>
                    <w:sz w:val="22"/>
                    <w:szCs w:val="22"/>
                  </w:rPr>
                  <w:t xml:space="preserve"> </w:t>
                </w:r>
                <w:r w:rsidR="00843200" w:rsidRPr="00843200">
                  <w:rPr>
                    <w:rFonts w:ascii="Arial" w:hAnsi="Arial" w:cs="Arial"/>
                    <w:i/>
                    <w:sz w:val="22"/>
                    <w:szCs w:val="22"/>
                  </w:rPr>
                  <w:t>provider</w:t>
                </w:r>
                <w:r w:rsidR="001A0E33" w:rsidRPr="00843200">
                  <w:rPr>
                    <w:rFonts w:ascii="Arial" w:hAnsi="Arial" w:cs="Arial"/>
                    <w:i/>
                    <w:sz w:val="22"/>
                    <w:szCs w:val="22"/>
                  </w:rPr>
                  <w:t xml:space="preserve"> travels</w:t>
                </w:r>
                <w:r w:rsidR="00843200">
                  <w:rPr>
                    <w:rFonts w:ascii="Arial" w:hAnsi="Arial" w:cs="Arial"/>
                    <w:sz w:val="22"/>
                    <w:szCs w:val="22"/>
                  </w:rPr>
                  <w:t xml:space="preserve">, ref. Part II, Section B, para 1.3.1 </w:t>
                </w:r>
                <w:r w:rsidR="00532D29">
                  <w:rPr>
                    <w:rFonts w:ascii="Arial" w:hAnsi="Arial" w:cs="Arial"/>
                    <w:sz w:val="22"/>
                    <w:szCs w:val="22"/>
                  </w:rPr>
                  <w:t>–</w:t>
                </w:r>
                <w:r w:rsidR="001A0E33" w:rsidRPr="001A0E33">
                  <w:rPr>
                    <w:rFonts w:ascii="Arial" w:hAnsi="Arial" w:cs="Arial"/>
                    <w:sz w:val="22"/>
                    <w:szCs w:val="22"/>
                  </w:rPr>
                  <w:t xml:space="preserve"> </w:t>
                </w:r>
                <w:r w:rsidR="00532D29">
                  <w:rPr>
                    <w:rFonts w:ascii="Arial" w:hAnsi="Arial" w:cs="Arial"/>
                    <w:sz w:val="22"/>
                    <w:szCs w:val="22"/>
                  </w:rPr>
                  <w:t xml:space="preserve">(travel) </w:t>
                </w:r>
                <w:r w:rsidR="001A0E33" w:rsidRPr="00843200">
                  <w:rPr>
                    <w:rFonts w:ascii="Arial" w:hAnsi="Arial" w:cs="Arial"/>
                    <w:i/>
                    <w:sz w:val="22"/>
                    <w:szCs w:val="22"/>
                  </w:rPr>
                  <w:t xml:space="preserve">the provider will have to </w:t>
                </w:r>
                <w:r w:rsidRPr="00843200">
                  <w:rPr>
                    <w:rFonts w:ascii="Arial" w:hAnsi="Arial" w:cs="Arial"/>
                    <w:i/>
                    <w:sz w:val="22"/>
                    <w:szCs w:val="22"/>
                  </w:rPr>
                  <w:t xml:space="preserve">make when </w:t>
                </w:r>
                <w:r w:rsidR="00843200" w:rsidRPr="00843200">
                  <w:rPr>
                    <w:rFonts w:ascii="Arial" w:hAnsi="Arial" w:cs="Arial"/>
                    <w:i/>
                    <w:sz w:val="22"/>
                    <w:szCs w:val="22"/>
                  </w:rPr>
                  <w:t xml:space="preserve">ensuring a successful </w:t>
                </w:r>
                <w:r w:rsidR="00843200" w:rsidRPr="00843200">
                  <w:rPr>
                    <w:rFonts w:ascii="Arial" w:hAnsi="Arial" w:cs="Arial"/>
                    <w:i/>
                    <w:sz w:val="22"/>
                    <w:szCs w:val="22"/>
                  </w:rPr>
                  <w:lastRenderedPageBreak/>
                  <w:t>provision of a deliverable</w:t>
                </w:r>
                <w:r w:rsidR="00843200">
                  <w:rPr>
                    <w:rFonts w:ascii="Arial" w:hAnsi="Arial" w:cs="Arial"/>
                    <w:i/>
                    <w:sz w:val="22"/>
                    <w:szCs w:val="22"/>
                  </w:rPr>
                  <w:t>,</w:t>
                </w:r>
                <w:r w:rsidR="00843200">
                  <w:rPr>
                    <w:rFonts w:ascii="Arial" w:hAnsi="Arial" w:cs="Arial"/>
                    <w:sz w:val="22"/>
                    <w:szCs w:val="22"/>
                  </w:rPr>
                  <w:t xml:space="preserve"> </w:t>
                </w:r>
                <w:r w:rsidR="00532D29">
                  <w:rPr>
                    <w:rFonts w:ascii="Arial" w:hAnsi="Arial" w:cs="Arial"/>
                    <w:sz w:val="22"/>
                    <w:szCs w:val="22"/>
                  </w:rPr>
                  <w:t>including</w:t>
                </w:r>
                <w:r w:rsidR="00843200">
                  <w:rPr>
                    <w:rFonts w:ascii="Arial" w:hAnsi="Arial" w:cs="Arial"/>
                    <w:sz w:val="22"/>
                    <w:szCs w:val="22"/>
                  </w:rPr>
                  <w:t xml:space="preserve"> </w:t>
                </w:r>
                <w:r w:rsidR="006666B0">
                  <w:rPr>
                    <w:rFonts w:ascii="Arial" w:hAnsi="Arial" w:cs="Arial"/>
                    <w:sz w:val="22"/>
                    <w:szCs w:val="22"/>
                  </w:rPr>
                  <w:t>performing</w:t>
                </w:r>
                <w:r w:rsidR="001A0E33" w:rsidRPr="001A0E33">
                  <w:rPr>
                    <w:rFonts w:ascii="Arial" w:hAnsi="Arial" w:cs="Arial"/>
                    <w:sz w:val="22"/>
                    <w:szCs w:val="22"/>
                  </w:rPr>
                  <w:t xml:space="preserve"> the IDMI-function</w:t>
                </w:r>
                <w:r w:rsidR="00532D29">
                  <w:rPr>
                    <w:rFonts w:ascii="Arial" w:hAnsi="Arial" w:cs="Arial"/>
                    <w:sz w:val="22"/>
                    <w:szCs w:val="22"/>
                  </w:rPr>
                  <w:t xml:space="preserve"> at JWC</w:t>
                </w:r>
                <w:r w:rsidR="00843200">
                  <w:rPr>
                    <w:rFonts w:ascii="Arial" w:hAnsi="Arial" w:cs="Arial"/>
                    <w:sz w:val="22"/>
                    <w:szCs w:val="22"/>
                  </w:rPr>
                  <w:t>, ref.</w:t>
                </w:r>
                <w:r w:rsidR="006666B0">
                  <w:rPr>
                    <w:rFonts w:ascii="Arial" w:hAnsi="Arial" w:cs="Arial"/>
                    <w:sz w:val="22"/>
                    <w:szCs w:val="22"/>
                  </w:rPr>
                  <w:t xml:space="preserve"> Part II Section B chapter 3, </w:t>
                </w:r>
                <w:r w:rsidR="00843200">
                  <w:rPr>
                    <w:rFonts w:ascii="Arial" w:hAnsi="Arial" w:cs="Arial"/>
                    <w:sz w:val="22"/>
                    <w:szCs w:val="22"/>
                  </w:rPr>
                  <w:t xml:space="preserve">para </w:t>
                </w:r>
                <w:r w:rsidR="006666B0">
                  <w:rPr>
                    <w:rFonts w:ascii="Arial" w:hAnsi="Arial" w:cs="Arial"/>
                    <w:sz w:val="22"/>
                    <w:szCs w:val="22"/>
                  </w:rPr>
                  <w:t>1.4.2.2</w:t>
                </w:r>
                <w:r w:rsidR="00843200">
                  <w:rPr>
                    <w:rFonts w:ascii="Arial" w:hAnsi="Arial" w:cs="Arial"/>
                    <w:sz w:val="22"/>
                    <w:szCs w:val="22"/>
                  </w:rPr>
                  <w:t>, stating</w:t>
                </w:r>
                <w:r w:rsidR="006666B0">
                  <w:rPr>
                    <w:rFonts w:ascii="Arial" w:hAnsi="Arial" w:cs="Arial"/>
                    <w:sz w:val="22"/>
                    <w:szCs w:val="22"/>
                  </w:rPr>
                  <w:t xml:space="preserve"> that “</w:t>
                </w:r>
                <w:r w:rsidR="006666B0" w:rsidRPr="006666B0">
                  <w:rPr>
                    <w:rFonts w:ascii="Arial" w:hAnsi="Arial" w:cs="Arial"/>
                    <w:i/>
                    <w:sz w:val="22"/>
                    <w:szCs w:val="22"/>
                  </w:rPr>
                  <w:t>the</w:t>
                </w:r>
                <w:r w:rsidR="0017133C" w:rsidRPr="006666B0">
                  <w:rPr>
                    <w:rFonts w:ascii="Arial" w:hAnsi="Arial" w:cs="Arial"/>
                    <w:i/>
                    <w:sz w:val="22"/>
                    <w:szCs w:val="22"/>
                  </w:rPr>
                  <w:t xml:space="preserve"> </w:t>
                </w:r>
                <w:r w:rsidR="006666B0" w:rsidRPr="006666B0">
                  <w:rPr>
                    <w:rFonts w:ascii="Arial" w:hAnsi="Arial" w:cs="Arial"/>
                    <w:i/>
                    <w:sz w:val="22"/>
                    <w:szCs w:val="22"/>
                  </w:rPr>
                  <w:t>liaison function in the IDMI context will include an average of two .5 work-unit per week</w:t>
                </w:r>
                <w:r w:rsidR="00532D29" w:rsidRPr="00532D29">
                  <w:rPr>
                    <w:rFonts w:ascii="Arial" w:hAnsi="Arial" w:cs="Arial"/>
                    <w:i/>
                    <w:sz w:val="22"/>
                    <w:szCs w:val="22"/>
                  </w:rPr>
                  <w:t>,</w:t>
                </w:r>
                <w:r w:rsidR="00532D29" w:rsidRPr="00532D29">
                  <w:rPr>
                    <w:rFonts w:ascii="Arial" w:hAnsi="Arial" w:cs="Arial"/>
                    <w:i/>
                    <w:color w:val="000000" w:themeColor="text1"/>
                    <w:sz w:val="22"/>
                    <w:szCs w:val="22"/>
                  </w:rPr>
                  <w:t xml:space="preserve"> requiring the representative’s physical presence at JWC</w:t>
                </w:r>
                <w:r w:rsidR="006666B0" w:rsidRPr="006666B0">
                  <w:rPr>
                    <w:rFonts w:ascii="Arial" w:hAnsi="Arial" w:cs="Arial"/>
                    <w:i/>
                    <w:sz w:val="22"/>
                    <w:szCs w:val="22"/>
                  </w:rPr>
                  <w:t>.</w:t>
                </w:r>
                <w:r w:rsidR="006666B0">
                  <w:rPr>
                    <w:rFonts w:ascii="Arial" w:hAnsi="Arial" w:cs="Arial"/>
                    <w:sz w:val="22"/>
                    <w:szCs w:val="22"/>
                  </w:rPr>
                  <w:t xml:space="preserve">” – travels related to this function are not tasked travels, and will have to be </w:t>
                </w:r>
                <w:r w:rsidR="00532D29">
                  <w:rPr>
                    <w:rFonts w:ascii="Arial" w:hAnsi="Arial" w:cs="Arial"/>
                    <w:sz w:val="22"/>
                    <w:szCs w:val="22"/>
                  </w:rPr>
                  <w:t xml:space="preserve">planned, costed and </w:t>
                </w:r>
                <w:r w:rsidR="006666B0">
                  <w:rPr>
                    <w:rFonts w:ascii="Arial" w:hAnsi="Arial" w:cs="Arial"/>
                    <w:sz w:val="22"/>
                    <w:szCs w:val="22"/>
                  </w:rPr>
                  <w:t>managed by the provider.</w:t>
                </w:r>
                <w:r w:rsidR="00AA7795">
                  <w:rPr>
                    <w:rFonts w:ascii="Arial" w:hAnsi="Arial" w:cs="Arial"/>
                    <w:sz w:val="22"/>
                    <w:szCs w:val="22"/>
                  </w:rPr>
                  <w:t xml:space="preserve"> These travels are not subject to COTR’s requirements, thus not needing approval by the Contracting Officer. </w:t>
                </w:r>
              </w:p>
              <w:p w:rsidR="00CA062E" w:rsidRPr="001A0E33" w:rsidRDefault="00820FD8" w:rsidP="009F17E6">
                <w:pPr>
                  <w:pStyle w:val="BodyText"/>
                  <w:rPr>
                    <w:rFonts w:ascii="Arial" w:hAnsi="Arial" w:cs="Arial"/>
                    <w:sz w:val="22"/>
                    <w:szCs w:val="22"/>
                  </w:rPr>
                </w:pPr>
                <w:r w:rsidRPr="001A0E33">
                  <w:rPr>
                    <w:rFonts w:ascii="Arial" w:hAnsi="Arial" w:cs="Arial"/>
                    <w:sz w:val="22"/>
                    <w:szCs w:val="22"/>
                  </w:rPr>
                  <w:t>The relevant paragraphs for</w:t>
                </w:r>
                <w:r w:rsidR="001A0E33" w:rsidRPr="001A0E33">
                  <w:rPr>
                    <w:rFonts w:ascii="Arial" w:hAnsi="Arial" w:cs="Arial"/>
                    <w:sz w:val="22"/>
                    <w:szCs w:val="22"/>
                  </w:rPr>
                  <w:t xml:space="preserve"> tasked</w:t>
                </w:r>
                <w:r w:rsidRPr="001A0E33">
                  <w:rPr>
                    <w:rFonts w:ascii="Arial" w:hAnsi="Arial" w:cs="Arial"/>
                    <w:sz w:val="22"/>
                    <w:szCs w:val="22"/>
                  </w:rPr>
                  <w:t xml:space="preserve"> </w:t>
                </w:r>
                <w:r w:rsidR="001A0E33" w:rsidRPr="001A0E33">
                  <w:rPr>
                    <w:rFonts w:ascii="Arial" w:hAnsi="Arial" w:cs="Arial"/>
                    <w:sz w:val="22"/>
                    <w:szCs w:val="22"/>
                  </w:rPr>
                  <w:t>travels are found in Part II</w:t>
                </w:r>
                <w:r w:rsidR="00843200">
                  <w:rPr>
                    <w:rFonts w:ascii="Arial" w:hAnsi="Arial" w:cs="Arial"/>
                    <w:sz w:val="22"/>
                    <w:szCs w:val="22"/>
                  </w:rPr>
                  <w:t>,</w:t>
                </w:r>
                <w:r w:rsidR="001A0E33" w:rsidRPr="001A0E33">
                  <w:rPr>
                    <w:rFonts w:ascii="Arial" w:hAnsi="Arial" w:cs="Arial"/>
                    <w:sz w:val="22"/>
                    <w:szCs w:val="22"/>
                  </w:rPr>
                  <w:t xml:space="preserve"> Sect</w:t>
                </w:r>
                <w:r w:rsidR="00843200">
                  <w:rPr>
                    <w:rFonts w:ascii="Arial" w:hAnsi="Arial" w:cs="Arial"/>
                    <w:sz w:val="22"/>
                    <w:szCs w:val="22"/>
                  </w:rPr>
                  <w:t>ion B, para 7 (p.</w:t>
                </w:r>
                <w:r w:rsidR="001A0E33" w:rsidRPr="001A0E33">
                  <w:rPr>
                    <w:rFonts w:ascii="Arial" w:hAnsi="Arial" w:cs="Arial"/>
                    <w:sz w:val="22"/>
                    <w:szCs w:val="22"/>
                  </w:rPr>
                  <w:t>41</w:t>
                </w:r>
                <w:r w:rsidR="00843200">
                  <w:rPr>
                    <w:rFonts w:ascii="Arial" w:hAnsi="Arial" w:cs="Arial"/>
                    <w:sz w:val="22"/>
                    <w:szCs w:val="22"/>
                  </w:rPr>
                  <w:t>)</w:t>
                </w:r>
                <w:r w:rsidR="001A0E33" w:rsidRPr="001A0E33">
                  <w:rPr>
                    <w:rFonts w:ascii="Arial" w:hAnsi="Arial" w:cs="Arial"/>
                    <w:sz w:val="22"/>
                    <w:szCs w:val="22"/>
                  </w:rPr>
                  <w:t>:</w:t>
                </w:r>
              </w:p>
              <w:p w:rsidR="001A0E33" w:rsidRPr="001A0E33" w:rsidRDefault="001A0E33" w:rsidP="001A0E33">
                <w:pPr>
                  <w:pStyle w:val="BodyText"/>
                  <w:numPr>
                    <w:ilvl w:val="0"/>
                    <w:numId w:val="68"/>
                  </w:numPr>
                  <w:rPr>
                    <w:rFonts w:ascii="Arial" w:hAnsi="Arial" w:cs="Arial"/>
                  </w:rPr>
                </w:pPr>
                <w:r w:rsidRPr="001A0E33">
                  <w:rPr>
                    <w:rFonts w:ascii="Arial" w:hAnsi="Arial" w:cs="Arial"/>
                    <w:lang w:val="en-US" w:eastAsia="en-GB"/>
                  </w:rPr>
                  <w:t xml:space="preserve">Since </w:t>
                </w:r>
                <w:r w:rsidRPr="001A0E33">
                  <w:rPr>
                    <w:rFonts w:ascii="Arial" w:hAnsi="Arial" w:cs="Arial"/>
                    <w:b/>
                    <w:lang w:val="en-US" w:eastAsia="en-GB"/>
                  </w:rPr>
                  <w:t>Tasked Travel</w:t>
                </w:r>
                <w:r w:rsidRPr="001A0E33">
                  <w:rPr>
                    <w:rFonts w:ascii="Arial" w:hAnsi="Arial" w:cs="Arial"/>
                    <w:lang w:val="en-US" w:eastAsia="en-GB"/>
                  </w:rPr>
                  <w:t xml:space="preserve"> may be required during the period of performance, it will be up to the COTR to identify requirements, as well as to obtain advance approval from the Contracting Officer on travel and per diem costs</w:t>
                </w:r>
              </w:p>
              <w:p w:rsidR="001A0E33" w:rsidRDefault="001A0E33" w:rsidP="001A0E33">
                <w:pPr>
                  <w:pStyle w:val="ListParagraph"/>
                  <w:numPr>
                    <w:ilvl w:val="0"/>
                    <w:numId w:val="68"/>
                  </w:numPr>
                  <w:autoSpaceDE w:val="0"/>
                  <w:autoSpaceDN w:val="0"/>
                  <w:adjustRightInd w:val="0"/>
                  <w:rPr>
                    <w:rFonts w:ascii="Arial" w:hAnsi="Arial" w:cs="Arial"/>
                    <w:sz w:val="20"/>
                    <w:szCs w:val="20"/>
                    <w:lang w:val="en-US" w:eastAsia="en-GB"/>
                  </w:rPr>
                </w:pPr>
                <w:r w:rsidRPr="001A0E33">
                  <w:rPr>
                    <w:rFonts w:ascii="Arial" w:hAnsi="Arial" w:cs="Arial"/>
                    <w:sz w:val="20"/>
                    <w:szCs w:val="20"/>
                    <w:lang w:val="en-US" w:eastAsia="en-GB"/>
                  </w:rPr>
                  <w:t xml:space="preserve">Once Contractor travel has been established under a Contract/Purchase Order and the Supplier’s personnel is </w:t>
                </w:r>
                <w:r w:rsidRPr="001A0E33">
                  <w:rPr>
                    <w:rFonts w:ascii="Arial" w:hAnsi="Arial" w:cs="Arial"/>
                    <w:b/>
                    <w:sz w:val="20"/>
                    <w:szCs w:val="20"/>
                    <w:lang w:val="en-US" w:eastAsia="en-GB"/>
                  </w:rPr>
                  <w:t>tasked to travel</w:t>
                </w:r>
                <w:r w:rsidRPr="001A0E33">
                  <w:rPr>
                    <w:rFonts w:ascii="Arial" w:hAnsi="Arial" w:cs="Arial"/>
                    <w:sz w:val="20"/>
                    <w:szCs w:val="20"/>
                    <w:lang w:val="en-US" w:eastAsia="en-GB"/>
                  </w:rPr>
                  <w:t>, the JWC Contractor Travel Request form must be filled out and approved prior to any travel being conducted.</w:t>
                </w:r>
              </w:p>
              <w:p w:rsidR="001A0E33" w:rsidRPr="00913DEC" w:rsidRDefault="001A0E33" w:rsidP="00843200">
                <w:pPr>
                  <w:pStyle w:val="BodyText"/>
                  <w:rPr>
                    <w:rFonts w:ascii="Arial" w:hAnsi="Arial" w:cs="Arial"/>
                    <w:lang w:val="en-US"/>
                  </w:rPr>
                </w:pPr>
              </w:p>
            </w:tc>
          </w:tr>
          <w:tr w:rsidR="00CA062E" w:rsidRPr="001A0E33" w:rsidTr="009F17E6">
            <w:tc>
              <w:tcPr>
                <w:tcW w:w="578" w:type="dxa"/>
              </w:tcPr>
              <w:p w:rsidR="00CA062E" w:rsidRPr="001A0E33" w:rsidRDefault="009F17E6" w:rsidP="00101B9E">
                <w:pPr>
                  <w:rPr>
                    <w:rFonts w:ascii="Arial" w:hAnsi="Arial" w:cs="Arial"/>
                    <w:sz w:val="22"/>
                    <w:szCs w:val="22"/>
                  </w:rPr>
                </w:pPr>
                <w:r w:rsidRPr="001A0E33">
                  <w:rPr>
                    <w:rFonts w:ascii="Arial" w:hAnsi="Arial" w:cs="Arial"/>
                    <w:sz w:val="22"/>
                    <w:szCs w:val="22"/>
                  </w:rPr>
                  <w:lastRenderedPageBreak/>
                  <w:t>0</w:t>
                </w:r>
                <w:r w:rsidR="00CA062E" w:rsidRPr="001A0E33">
                  <w:rPr>
                    <w:rFonts w:ascii="Arial" w:hAnsi="Arial" w:cs="Arial"/>
                    <w:sz w:val="22"/>
                    <w:szCs w:val="22"/>
                  </w:rPr>
                  <w:t>3</w:t>
                </w:r>
              </w:p>
            </w:tc>
            <w:tc>
              <w:tcPr>
                <w:tcW w:w="4282" w:type="dxa"/>
              </w:tcPr>
              <w:p w:rsidR="00A825CB" w:rsidRPr="00293599" w:rsidRDefault="00293599" w:rsidP="00A825CB">
                <w:pPr>
                  <w:pStyle w:val="BodyText"/>
                  <w:rPr>
                    <w:rFonts w:ascii="Arial" w:hAnsi="Arial" w:cs="Arial"/>
                    <w:color w:val="4F81BD" w:themeColor="accent1"/>
                    <w:sz w:val="22"/>
                    <w:szCs w:val="22"/>
                  </w:rPr>
                </w:pPr>
                <w:r w:rsidRPr="00293599">
                  <w:rPr>
                    <w:rFonts w:ascii="Arial" w:hAnsi="Arial" w:cs="Arial"/>
                    <w:color w:val="4F81BD" w:themeColor="accent1"/>
                    <w:sz w:val="22"/>
                    <w:szCs w:val="22"/>
                  </w:rPr>
                  <w:t>T</w:t>
                </w:r>
                <w:r w:rsidR="00A825CB" w:rsidRPr="00293599">
                  <w:rPr>
                    <w:rFonts w:ascii="Arial" w:hAnsi="Arial" w:cs="Arial"/>
                    <w:color w:val="4F81BD" w:themeColor="accent1"/>
                    <w:sz w:val="22"/>
                    <w:szCs w:val="22"/>
                  </w:rPr>
                  <w:t>he Functional On Site Presence rows in Annex B mandates when the provider is to have physical presence in JWC. This is annotated in month blocks - do I assume the SME would be required for each whole month where annotated?</w:t>
                </w:r>
              </w:p>
              <w:p w:rsidR="00A825CB" w:rsidRPr="00293599" w:rsidRDefault="00A825CB" w:rsidP="00A825CB">
                <w:pPr>
                  <w:pStyle w:val="BodyText"/>
                  <w:rPr>
                    <w:rFonts w:ascii="Arial" w:hAnsi="Arial" w:cs="Arial"/>
                    <w:color w:val="4F81BD" w:themeColor="accent1"/>
                    <w:sz w:val="22"/>
                    <w:szCs w:val="22"/>
                  </w:rPr>
                </w:pPr>
                <w:r w:rsidRPr="00293599">
                  <w:rPr>
                    <w:rFonts w:ascii="Arial" w:hAnsi="Arial" w:cs="Arial"/>
                    <w:color w:val="4F81BD" w:themeColor="accent1"/>
                    <w:sz w:val="22"/>
                    <w:szCs w:val="22"/>
                  </w:rPr>
                  <w:t xml:space="preserve">However – it does </w:t>
                </w:r>
                <w:proofErr w:type="gramStart"/>
                <w:r w:rsidRPr="00293599">
                  <w:rPr>
                    <w:rFonts w:ascii="Arial" w:hAnsi="Arial" w:cs="Arial"/>
                    <w:color w:val="4F81BD" w:themeColor="accent1"/>
                    <w:sz w:val="22"/>
                    <w:szCs w:val="22"/>
                  </w:rPr>
                  <w:t>not ,</w:t>
                </w:r>
                <w:proofErr w:type="gramEnd"/>
                <w:r w:rsidRPr="00293599">
                  <w:rPr>
                    <w:rFonts w:ascii="Arial" w:hAnsi="Arial" w:cs="Arial"/>
                    <w:color w:val="4F81BD" w:themeColor="accent1"/>
                    <w:sz w:val="22"/>
                    <w:szCs w:val="22"/>
                  </w:rPr>
                  <w:t xml:space="preserve"> in all cases, marry with the Exercise Process blocks where I had assumed their presence would be required. Which is the definitive?</w:t>
                </w:r>
              </w:p>
              <w:p w:rsidR="00A825CB" w:rsidRPr="00293599" w:rsidRDefault="00293599" w:rsidP="00A825CB">
                <w:pPr>
                  <w:pStyle w:val="BodyText"/>
                  <w:rPr>
                    <w:rFonts w:ascii="Arial" w:hAnsi="Arial" w:cs="Arial"/>
                    <w:color w:val="4F81BD" w:themeColor="accent1"/>
                    <w:sz w:val="22"/>
                    <w:szCs w:val="22"/>
                  </w:rPr>
                </w:pPr>
                <w:r w:rsidRPr="00293599">
                  <w:rPr>
                    <w:rFonts w:ascii="Arial" w:hAnsi="Arial" w:cs="Arial"/>
                    <w:color w:val="4F81BD" w:themeColor="accent1"/>
                    <w:sz w:val="22"/>
                    <w:szCs w:val="22"/>
                  </w:rPr>
                  <w:t>Also</w:t>
                </w:r>
                <w:r w:rsidR="00A825CB" w:rsidRPr="00293599">
                  <w:rPr>
                    <w:rFonts w:ascii="Arial" w:hAnsi="Arial" w:cs="Arial"/>
                    <w:color w:val="4F81BD" w:themeColor="accent1"/>
                    <w:sz w:val="22"/>
                    <w:szCs w:val="22"/>
                  </w:rPr>
                  <w:t xml:space="preserve"> could you please clarify what the numbers in the boxes refer to?</w:t>
                </w:r>
              </w:p>
              <w:p w:rsidR="00CA062E" w:rsidRPr="001A0E33" w:rsidRDefault="00CA062E" w:rsidP="001A0E33">
                <w:pPr>
                  <w:pStyle w:val="BodyText"/>
                  <w:rPr>
                    <w:rFonts w:ascii="Arial" w:hAnsi="Arial" w:cs="Arial"/>
                    <w:sz w:val="22"/>
                    <w:szCs w:val="22"/>
                  </w:rPr>
                </w:pPr>
              </w:p>
            </w:tc>
            <w:tc>
              <w:tcPr>
                <w:tcW w:w="5580" w:type="dxa"/>
              </w:tcPr>
              <w:p w:rsidR="00CA062E" w:rsidRDefault="00405322" w:rsidP="00405322">
                <w:pPr>
                  <w:pStyle w:val="BodyText"/>
                  <w:rPr>
                    <w:rFonts w:ascii="Arial" w:hAnsi="Arial" w:cs="Arial"/>
                    <w:sz w:val="22"/>
                    <w:szCs w:val="22"/>
                  </w:rPr>
                </w:pPr>
                <w:r>
                  <w:rPr>
                    <w:rFonts w:ascii="Arial" w:hAnsi="Arial" w:cs="Arial"/>
                    <w:sz w:val="22"/>
                    <w:szCs w:val="22"/>
                  </w:rPr>
                  <w:t xml:space="preserve">Please see </w:t>
                </w:r>
                <w:r w:rsidRPr="00405322">
                  <w:rPr>
                    <w:rFonts w:ascii="Arial" w:hAnsi="Arial" w:cs="Arial"/>
                    <w:sz w:val="22"/>
                    <w:szCs w:val="22"/>
                  </w:rPr>
                  <w:t xml:space="preserve">Annex B, </w:t>
                </w:r>
                <w:r w:rsidRPr="00405322">
                  <w:rPr>
                    <w:rFonts w:ascii="Arial" w:hAnsi="Arial" w:cs="Arial"/>
                    <w:sz w:val="22"/>
                    <w:szCs w:val="22"/>
                    <w:u w:val="single"/>
                  </w:rPr>
                  <w:t>Change 1</w:t>
                </w:r>
                <w:r>
                  <w:rPr>
                    <w:rFonts w:ascii="Arial" w:hAnsi="Arial" w:cs="Arial"/>
                    <w:sz w:val="22"/>
                    <w:szCs w:val="22"/>
                  </w:rPr>
                  <w:t xml:space="preserve">, which has an additional line </w:t>
                </w:r>
                <w:r w:rsidR="009350E4">
                  <w:rPr>
                    <w:rFonts w:ascii="Arial" w:hAnsi="Arial" w:cs="Arial"/>
                    <w:sz w:val="22"/>
                    <w:szCs w:val="22"/>
                  </w:rPr>
                  <w:t xml:space="preserve">(in </w:t>
                </w:r>
                <w:r w:rsidR="009350E4" w:rsidRPr="009350E4">
                  <w:rPr>
                    <w:rFonts w:ascii="Arial" w:hAnsi="Arial" w:cs="Arial"/>
                    <w:color w:val="FF0000"/>
                    <w:sz w:val="22"/>
                    <w:szCs w:val="22"/>
                  </w:rPr>
                  <w:t>red</w:t>
                </w:r>
                <w:r w:rsidR="009350E4">
                  <w:rPr>
                    <w:rFonts w:ascii="Arial" w:hAnsi="Arial" w:cs="Arial"/>
                    <w:sz w:val="22"/>
                    <w:szCs w:val="22"/>
                  </w:rPr>
                  <w:t xml:space="preserve">) </w:t>
                </w:r>
                <w:r w:rsidRPr="009350E4">
                  <w:rPr>
                    <w:rFonts w:ascii="Arial" w:hAnsi="Arial" w:cs="Arial"/>
                    <w:sz w:val="22"/>
                    <w:szCs w:val="22"/>
                  </w:rPr>
                  <w:t>which</w:t>
                </w:r>
                <w:r>
                  <w:rPr>
                    <w:rFonts w:ascii="Arial" w:hAnsi="Arial" w:cs="Arial"/>
                    <w:sz w:val="22"/>
                    <w:szCs w:val="22"/>
                  </w:rPr>
                  <w:t xml:space="preserve"> shows the exact number of </w:t>
                </w:r>
                <w:r w:rsidR="009350E4">
                  <w:rPr>
                    <w:rFonts w:ascii="Arial" w:hAnsi="Arial" w:cs="Arial"/>
                    <w:sz w:val="22"/>
                    <w:szCs w:val="22"/>
                  </w:rPr>
                  <w:t>work-units</w:t>
                </w:r>
                <w:r>
                  <w:rPr>
                    <w:rFonts w:ascii="Arial" w:hAnsi="Arial" w:cs="Arial"/>
                    <w:sz w:val="22"/>
                    <w:szCs w:val="22"/>
                  </w:rPr>
                  <w:t xml:space="preserve"> required </w:t>
                </w:r>
                <w:r w:rsidR="009350E4" w:rsidRPr="009350E4">
                  <w:rPr>
                    <w:rFonts w:ascii="Arial" w:hAnsi="Arial" w:cs="Arial"/>
                    <w:sz w:val="22"/>
                    <w:szCs w:val="22"/>
                    <w:u w:val="single"/>
                  </w:rPr>
                  <w:t xml:space="preserve">per </w:t>
                </w:r>
                <w:r w:rsidR="001C79CB">
                  <w:rPr>
                    <w:rFonts w:ascii="Arial" w:hAnsi="Arial" w:cs="Arial"/>
                    <w:sz w:val="22"/>
                    <w:szCs w:val="22"/>
                    <w:u w:val="single"/>
                  </w:rPr>
                  <w:t>SME</w:t>
                </w:r>
                <w:r w:rsidR="009350E4" w:rsidRPr="009350E4">
                  <w:rPr>
                    <w:rFonts w:ascii="Arial" w:hAnsi="Arial" w:cs="Arial"/>
                    <w:sz w:val="22"/>
                    <w:szCs w:val="22"/>
                    <w:u w:val="single"/>
                  </w:rPr>
                  <w:t>,</w:t>
                </w:r>
                <w:r w:rsidR="009350E4">
                  <w:rPr>
                    <w:rFonts w:ascii="Arial" w:hAnsi="Arial" w:cs="Arial"/>
                    <w:sz w:val="22"/>
                    <w:szCs w:val="22"/>
                  </w:rPr>
                  <w:t xml:space="preserve"> </w:t>
                </w:r>
                <w:r w:rsidR="009350E4">
                  <w:rPr>
                    <w:rFonts w:ascii="Arial" w:hAnsi="Arial" w:cs="Arial"/>
                    <w:sz w:val="22"/>
                    <w:szCs w:val="22"/>
                    <w:u w:val="single"/>
                  </w:rPr>
                  <w:t>per</w:t>
                </w:r>
                <w:r w:rsidR="009350E4" w:rsidRPr="009350E4">
                  <w:rPr>
                    <w:rFonts w:ascii="Arial" w:hAnsi="Arial" w:cs="Arial"/>
                    <w:sz w:val="22"/>
                    <w:szCs w:val="22"/>
                    <w:u w:val="single"/>
                  </w:rPr>
                  <w:t xml:space="preserve"> month</w:t>
                </w:r>
                <w:r w:rsidR="009350E4">
                  <w:rPr>
                    <w:rFonts w:ascii="Arial" w:hAnsi="Arial" w:cs="Arial"/>
                    <w:sz w:val="22"/>
                    <w:szCs w:val="22"/>
                  </w:rPr>
                  <w:t xml:space="preserve"> f</w:t>
                </w:r>
                <w:r w:rsidRPr="009350E4">
                  <w:rPr>
                    <w:rFonts w:ascii="Arial" w:hAnsi="Arial" w:cs="Arial"/>
                    <w:sz w:val="22"/>
                    <w:szCs w:val="22"/>
                  </w:rPr>
                  <w:t>or</w:t>
                </w:r>
                <w:r>
                  <w:rPr>
                    <w:rFonts w:ascii="Arial" w:hAnsi="Arial" w:cs="Arial"/>
                    <w:sz w:val="22"/>
                    <w:szCs w:val="22"/>
                  </w:rPr>
                  <w:t xml:space="preserve"> the Functional on-site Presence.</w:t>
                </w:r>
                <w:r w:rsidR="0037528D">
                  <w:rPr>
                    <w:rFonts w:ascii="Arial" w:hAnsi="Arial" w:cs="Arial"/>
                    <w:sz w:val="22"/>
                    <w:szCs w:val="22"/>
                  </w:rPr>
                  <w:t xml:space="preserve"> For planning purposes, the functional presence can be assumed to be consecutive days.</w:t>
                </w:r>
                <w:bookmarkStart w:id="0" w:name="_GoBack"/>
                <w:bookmarkEnd w:id="0"/>
              </w:p>
              <w:p w:rsidR="00405322" w:rsidRDefault="00405322" w:rsidP="00405322">
                <w:pPr>
                  <w:pStyle w:val="BodyText"/>
                  <w:rPr>
                    <w:rFonts w:ascii="Arial" w:hAnsi="Arial" w:cs="Arial"/>
                    <w:sz w:val="22"/>
                    <w:szCs w:val="22"/>
                  </w:rPr>
                </w:pPr>
                <w:r>
                  <w:rPr>
                    <w:rFonts w:ascii="Arial" w:hAnsi="Arial" w:cs="Arial"/>
                    <w:sz w:val="22"/>
                    <w:szCs w:val="22"/>
                  </w:rPr>
                  <w:t xml:space="preserve">The number in the original line for Functional on-site Presence shows the number of </w:t>
                </w:r>
                <w:r w:rsidR="001C79CB">
                  <w:rPr>
                    <w:rFonts w:ascii="Arial" w:hAnsi="Arial" w:cs="Arial"/>
                    <w:sz w:val="22"/>
                    <w:szCs w:val="22"/>
                  </w:rPr>
                  <w:t>SMEs</w:t>
                </w:r>
                <w:r>
                  <w:rPr>
                    <w:rFonts w:ascii="Arial" w:hAnsi="Arial" w:cs="Arial"/>
                    <w:sz w:val="22"/>
                    <w:szCs w:val="22"/>
                  </w:rPr>
                  <w:t xml:space="preserve"> required.</w:t>
                </w:r>
              </w:p>
              <w:p w:rsidR="009350E4" w:rsidRPr="006A57A1" w:rsidRDefault="001C79CB" w:rsidP="001C79CB">
                <w:pPr>
                  <w:pStyle w:val="BodyText"/>
                  <w:rPr>
                    <w:rFonts w:ascii="Arial" w:hAnsi="Arial" w:cs="Arial"/>
                    <w:sz w:val="22"/>
                    <w:szCs w:val="22"/>
                  </w:rPr>
                </w:pPr>
                <w:r>
                  <w:rPr>
                    <w:rFonts w:ascii="Arial" w:hAnsi="Arial" w:cs="Arial"/>
                    <w:sz w:val="22"/>
                    <w:szCs w:val="22"/>
                  </w:rPr>
                  <w:t>So, if the requirement is 2 SMEs and the number of work-units shown is 15, the total requirement is for 30 work-units.</w:t>
                </w: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t>04</w:t>
                </w:r>
              </w:p>
            </w:tc>
            <w:tc>
              <w:tcPr>
                <w:tcW w:w="4282" w:type="dxa"/>
              </w:tcPr>
              <w:p w:rsidR="00600BAD" w:rsidRPr="00293599" w:rsidRDefault="006A57A1" w:rsidP="00A825CB">
                <w:pPr>
                  <w:pStyle w:val="BodyText"/>
                  <w:rPr>
                    <w:rFonts w:ascii="Arial" w:hAnsi="Arial" w:cs="Arial"/>
                    <w:color w:val="4F81BD" w:themeColor="accent1"/>
                    <w:sz w:val="22"/>
                    <w:szCs w:val="22"/>
                  </w:rPr>
                </w:pPr>
                <w:r w:rsidRPr="006A57A1">
                  <w:rPr>
                    <w:rFonts w:ascii="Arial" w:hAnsi="Arial" w:cs="Arial"/>
                    <w:color w:val="4F81BD" w:themeColor="accent1"/>
                    <w:sz w:val="22"/>
                    <w:szCs w:val="22"/>
                  </w:rPr>
                  <w:t xml:space="preserve">Para 4.9 of Chapter 3 to Part III, Section B lays out the deliverables, including those related to NATO SECRET (NS) Functional Systems (FS) including TOPFAS, JEMM and those related to intel and targeting disciplines.  The verbal comment from JWC on the NOI being published was that </w:t>
                </w:r>
                <w:proofErr w:type="spellStart"/>
                <w:r w:rsidRPr="006A57A1">
                  <w:rPr>
                    <w:rFonts w:ascii="Arial" w:hAnsi="Arial" w:cs="Arial"/>
                    <w:color w:val="4F81BD" w:themeColor="accent1"/>
                    <w:sz w:val="22"/>
                    <w:szCs w:val="22"/>
                  </w:rPr>
                  <w:t>unclass</w:t>
                </w:r>
                <w:proofErr w:type="spellEnd"/>
                <w:r w:rsidRPr="006A57A1">
                  <w:rPr>
                    <w:rFonts w:ascii="Arial" w:hAnsi="Arial" w:cs="Arial"/>
                    <w:color w:val="4F81BD" w:themeColor="accent1"/>
                    <w:sz w:val="22"/>
                    <w:szCs w:val="22"/>
                  </w:rPr>
                  <w:t xml:space="preserve"> was expected to be the majority medium for info exchange.  None of these NS FS, I belie</w:t>
                </w:r>
                <w:r w:rsidR="003F7C1C">
                  <w:rPr>
                    <w:rFonts w:ascii="Arial" w:hAnsi="Arial" w:cs="Arial"/>
                    <w:color w:val="4F81BD" w:themeColor="accent1"/>
                    <w:sz w:val="22"/>
                    <w:szCs w:val="22"/>
                  </w:rPr>
                  <w:t xml:space="preserve">ve, are accessible via </w:t>
                </w:r>
                <w:proofErr w:type="spellStart"/>
                <w:r w:rsidR="003F7C1C">
                  <w:rPr>
                    <w:rFonts w:ascii="Arial" w:hAnsi="Arial" w:cs="Arial"/>
                    <w:color w:val="4F81BD" w:themeColor="accent1"/>
                    <w:sz w:val="22"/>
                    <w:szCs w:val="22"/>
                  </w:rPr>
                  <w:t>unclass</w:t>
                </w:r>
                <w:proofErr w:type="spellEnd"/>
                <w:r w:rsidR="003F7C1C">
                  <w:rPr>
                    <w:rFonts w:ascii="Arial" w:hAnsi="Arial" w:cs="Arial"/>
                    <w:color w:val="4F81BD" w:themeColor="accent1"/>
                    <w:sz w:val="22"/>
                    <w:szCs w:val="22"/>
                  </w:rPr>
                  <w:t>.</w:t>
                </w:r>
                <w:r w:rsidRPr="006A57A1">
                  <w:rPr>
                    <w:rFonts w:ascii="Arial" w:hAnsi="Arial" w:cs="Arial"/>
                    <w:color w:val="4F81BD" w:themeColor="accent1"/>
                    <w:sz w:val="22"/>
                    <w:szCs w:val="22"/>
                  </w:rPr>
                  <w:t xml:space="preserve"> Therefore, are you expecting the SME to produce relevant work on </w:t>
                </w:r>
                <w:proofErr w:type="spellStart"/>
                <w:r w:rsidRPr="006A57A1">
                  <w:rPr>
                    <w:rFonts w:ascii="Arial" w:hAnsi="Arial" w:cs="Arial"/>
                    <w:color w:val="4F81BD" w:themeColor="accent1"/>
                    <w:sz w:val="22"/>
                    <w:szCs w:val="22"/>
                  </w:rPr>
                  <w:t>unclass</w:t>
                </w:r>
                <w:proofErr w:type="spellEnd"/>
                <w:r w:rsidRPr="006A57A1">
                  <w:rPr>
                    <w:rFonts w:ascii="Arial" w:hAnsi="Arial" w:cs="Arial"/>
                    <w:color w:val="4F81BD" w:themeColor="accent1"/>
                    <w:sz w:val="22"/>
                    <w:szCs w:val="22"/>
                  </w:rPr>
                  <w:t xml:space="preserve"> and forward to JWC, for JWC to upload to the relevant NS FS?  If not, what is your </w:t>
                </w:r>
                <w:r w:rsidRPr="006A57A1">
                  <w:rPr>
                    <w:rFonts w:ascii="Arial" w:hAnsi="Arial" w:cs="Arial"/>
                    <w:color w:val="4F81BD" w:themeColor="accent1"/>
                    <w:sz w:val="22"/>
                    <w:szCs w:val="22"/>
                  </w:rPr>
                  <w:lastRenderedPageBreak/>
                  <w:t>expectation for delivery?</w:t>
                </w:r>
              </w:p>
            </w:tc>
            <w:tc>
              <w:tcPr>
                <w:tcW w:w="5580" w:type="dxa"/>
              </w:tcPr>
              <w:p w:rsidR="00600BAD" w:rsidRPr="00843200" w:rsidRDefault="00405322" w:rsidP="00101B9E">
                <w:pPr>
                  <w:pStyle w:val="BodyText"/>
                  <w:rPr>
                    <w:rFonts w:ascii="Arial" w:hAnsi="Arial" w:cs="Arial"/>
                    <w:sz w:val="22"/>
                    <w:szCs w:val="22"/>
                  </w:rPr>
                </w:pPr>
                <w:r w:rsidRPr="00405322">
                  <w:rPr>
                    <w:rFonts w:ascii="Arial" w:hAnsi="Arial" w:cs="Arial"/>
                    <w:sz w:val="22"/>
                    <w:szCs w:val="22"/>
                  </w:rPr>
                  <w:lastRenderedPageBreak/>
                  <w:t>Yes, it will be acceptable for the SME to complete the work on an unclass</w:t>
                </w:r>
                <w:r>
                  <w:rPr>
                    <w:rFonts w:ascii="Arial" w:hAnsi="Arial" w:cs="Arial"/>
                    <w:sz w:val="22"/>
                    <w:szCs w:val="22"/>
                  </w:rPr>
                  <w:t>ified</w:t>
                </w:r>
                <w:r w:rsidRPr="00405322">
                  <w:rPr>
                    <w:rFonts w:ascii="Arial" w:hAnsi="Arial" w:cs="Arial"/>
                    <w:sz w:val="22"/>
                    <w:szCs w:val="22"/>
                  </w:rPr>
                  <w:t xml:space="preserve"> system and forward to JWC.  The IKM or </w:t>
                </w:r>
                <w:r w:rsidR="007561F5">
                  <w:rPr>
                    <w:rFonts w:ascii="Arial" w:hAnsi="Arial" w:cs="Arial"/>
                    <w:sz w:val="22"/>
                    <w:szCs w:val="22"/>
                  </w:rPr>
                  <w:t xml:space="preserve">SCT </w:t>
                </w:r>
                <w:r w:rsidRPr="00405322">
                  <w:rPr>
                    <w:rFonts w:ascii="Arial" w:hAnsi="Arial" w:cs="Arial"/>
                    <w:sz w:val="22"/>
                    <w:szCs w:val="22"/>
                  </w:rPr>
                  <w:t>IDMI function will be responsible for the uploading of the deliverable into the appropriate FS under the guidance of the Chief Scenario.</w:t>
                </w: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lastRenderedPageBreak/>
                  <w:t>05</w:t>
                </w:r>
              </w:p>
            </w:tc>
            <w:tc>
              <w:tcPr>
                <w:tcW w:w="4282" w:type="dxa"/>
              </w:tcPr>
              <w:p w:rsidR="006A57A1" w:rsidRPr="006A57A1" w:rsidRDefault="006A57A1" w:rsidP="006A57A1">
                <w:pPr>
                  <w:pStyle w:val="BodyText"/>
                  <w:rPr>
                    <w:rFonts w:ascii="Arial" w:hAnsi="Arial" w:cs="Arial"/>
                    <w:color w:val="4F81BD" w:themeColor="accent1"/>
                    <w:sz w:val="22"/>
                    <w:szCs w:val="22"/>
                    <w:lang w:val="en-US"/>
                  </w:rPr>
                </w:pPr>
                <w:r w:rsidRPr="006A57A1">
                  <w:rPr>
                    <w:rFonts w:ascii="Arial" w:hAnsi="Arial" w:cs="Arial"/>
                    <w:color w:val="4F81BD" w:themeColor="accent1"/>
                    <w:sz w:val="22"/>
                    <w:szCs w:val="22"/>
                    <w:lang w:val="en-US"/>
                  </w:rPr>
                  <w:t>From your Production Delivery Forecast (PDF), there are activities noted before the contract starts on 1 Oct 18.  Can you clarify as to whether these are requirements on respective SMEs, and which might be expected to attend?</w:t>
                </w:r>
              </w:p>
              <w:p w:rsidR="006A57A1" w:rsidRPr="006A57A1" w:rsidRDefault="006A57A1" w:rsidP="006A57A1">
                <w:pPr>
                  <w:pStyle w:val="BodyText"/>
                  <w:rPr>
                    <w:rFonts w:ascii="Arial" w:hAnsi="Arial" w:cs="Arial"/>
                    <w:color w:val="4F81BD" w:themeColor="accent1"/>
                    <w:sz w:val="22"/>
                    <w:szCs w:val="22"/>
                    <w:lang w:val="en-US"/>
                  </w:rPr>
                </w:pPr>
                <w:r w:rsidRPr="006A57A1">
                  <w:rPr>
                    <w:rFonts w:ascii="Arial" w:hAnsi="Arial" w:cs="Arial"/>
                    <w:color w:val="4F81BD" w:themeColor="accent1"/>
                    <w:sz w:val="22"/>
                    <w:szCs w:val="22"/>
                    <w:lang w:val="en-US"/>
                  </w:rPr>
                  <w:t>a.</w:t>
                </w:r>
                <w:proofErr w:type="gramStart"/>
                <w:r w:rsidRPr="006A57A1">
                  <w:rPr>
                    <w:rFonts w:ascii="Arial" w:hAnsi="Arial" w:cs="Arial"/>
                    <w:color w:val="4F81BD" w:themeColor="accent1"/>
                    <w:sz w:val="22"/>
                    <w:szCs w:val="22"/>
                    <w:lang w:val="en-US"/>
                  </w:rPr>
                  <w:t>  Supporting</w:t>
                </w:r>
                <w:proofErr w:type="gramEnd"/>
                <w:r w:rsidRPr="006A57A1">
                  <w:rPr>
                    <w:rFonts w:ascii="Arial" w:hAnsi="Arial" w:cs="Arial"/>
                    <w:color w:val="4F81BD" w:themeColor="accent1"/>
                    <w:sz w:val="22"/>
                    <w:szCs w:val="22"/>
                    <w:lang w:val="en-US"/>
                  </w:rPr>
                  <w:t xml:space="preserve"> Events block shows Scenario Development kick-off meeting as 1-2 days in Aug.</w:t>
                </w:r>
                <w:r w:rsidRPr="006A57A1">
                  <w:rPr>
                    <w:rFonts w:ascii="Arial" w:hAnsi="Arial" w:cs="Arial"/>
                    <w:color w:val="4F81BD" w:themeColor="accent1"/>
                    <w:sz w:val="22"/>
                    <w:szCs w:val="22"/>
                    <w:lang w:val="en-US"/>
                  </w:rPr>
                  <w:br/>
                  <w:t>b.  Exercise Storybook block line shows a need for availability from Apr-Jul 18.</w:t>
                </w:r>
              </w:p>
              <w:p w:rsidR="006A57A1" w:rsidRPr="006A57A1" w:rsidRDefault="006A57A1" w:rsidP="006A57A1">
                <w:pPr>
                  <w:pStyle w:val="BodyText"/>
                  <w:rPr>
                    <w:rFonts w:ascii="Arial" w:hAnsi="Arial" w:cs="Arial"/>
                    <w:color w:val="4F81BD" w:themeColor="accent1"/>
                    <w:sz w:val="22"/>
                    <w:szCs w:val="22"/>
                    <w:lang w:val="en-US"/>
                  </w:rPr>
                </w:pPr>
                <w:r w:rsidRPr="006A57A1">
                  <w:rPr>
                    <w:rFonts w:ascii="Arial" w:hAnsi="Arial" w:cs="Arial"/>
                    <w:color w:val="4F81BD" w:themeColor="accent1"/>
                    <w:sz w:val="22"/>
                    <w:szCs w:val="22"/>
                    <w:lang w:val="en-US"/>
                  </w:rPr>
                  <w:t>c.</w:t>
                </w:r>
                <w:proofErr w:type="gramStart"/>
                <w:r w:rsidRPr="006A57A1">
                  <w:rPr>
                    <w:rFonts w:ascii="Arial" w:hAnsi="Arial" w:cs="Arial"/>
                    <w:color w:val="4F81BD" w:themeColor="accent1"/>
                    <w:sz w:val="22"/>
                    <w:szCs w:val="22"/>
                    <w:lang w:val="en-US"/>
                  </w:rPr>
                  <w:t>  SCT</w:t>
                </w:r>
                <w:proofErr w:type="gramEnd"/>
                <w:r w:rsidRPr="006A57A1">
                  <w:rPr>
                    <w:rFonts w:ascii="Arial" w:hAnsi="Arial" w:cs="Arial"/>
                    <w:color w:val="4F81BD" w:themeColor="accent1"/>
                    <w:sz w:val="22"/>
                    <w:szCs w:val="22"/>
                    <w:lang w:val="en-US"/>
                  </w:rPr>
                  <w:t xml:space="preserve"> Info &amp; KM is required to be available on-site for 1 day/month from Sep 18.</w:t>
                </w:r>
              </w:p>
              <w:p w:rsidR="006A57A1" w:rsidRPr="006A57A1" w:rsidRDefault="006A57A1" w:rsidP="006A57A1">
                <w:pPr>
                  <w:pStyle w:val="BodyText"/>
                  <w:rPr>
                    <w:rFonts w:ascii="Arial" w:hAnsi="Arial" w:cs="Arial"/>
                    <w:color w:val="4F81BD" w:themeColor="accent1"/>
                    <w:sz w:val="22"/>
                    <w:szCs w:val="22"/>
                    <w:lang w:val="en-US"/>
                  </w:rPr>
                </w:pPr>
                <w:r w:rsidRPr="006A57A1">
                  <w:rPr>
                    <w:rFonts w:ascii="Arial" w:hAnsi="Arial" w:cs="Arial"/>
                    <w:color w:val="4F81BD" w:themeColor="accent1"/>
                    <w:sz w:val="22"/>
                    <w:szCs w:val="22"/>
                    <w:lang w:val="en-US"/>
                  </w:rPr>
                  <w:t>d.</w:t>
                </w:r>
                <w:proofErr w:type="gramStart"/>
                <w:r w:rsidRPr="006A57A1">
                  <w:rPr>
                    <w:rFonts w:ascii="Arial" w:hAnsi="Arial" w:cs="Arial"/>
                    <w:color w:val="4F81BD" w:themeColor="accent1"/>
                    <w:sz w:val="22"/>
                    <w:szCs w:val="22"/>
                    <w:lang w:val="en-US"/>
                  </w:rPr>
                  <w:t>  All</w:t>
                </w:r>
                <w:proofErr w:type="gramEnd"/>
                <w:r w:rsidRPr="006A57A1">
                  <w:rPr>
                    <w:rFonts w:ascii="Arial" w:hAnsi="Arial" w:cs="Arial"/>
                    <w:color w:val="4F81BD" w:themeColor="accent1"/>
                    <w:sz w:val="22"/>
                    <w:szCs w:val="22"/>
                    <w:lang w:val="en-US"/>
                  </w:rPr>
                  <w:t xml:space="preserve"> other SCTs have an IDMI requirement from Sep 18.</w:t>
                </w:r>
              </w:p>
              <w:p w:rsidR="00600BAD" w:rsidRPr="006A57A1" w:rsidRDefault="00600BAD" w:rsidP="00A825CB">
                <w:pPr>
                  <w:pStyle w:val="BodyText"/>
                  <w:rPr>
                    <w:rFonts w:ascii="Arial" w:hAnsi="Arial" w:cs="Arial"/>
                    <w:color w:val="4F81BD" w:themeColor="accent1"/>
                    <w:sz w:val="22"/>
                    <w:szCs w:val="22"/>
                    <w:lang w:val="en-US"/>
                  </w:rPr>
                </w:pPr>
              </w:p>
            </w:tc>
            <w:tc>
              <w:tcPr>
                <w:tcW w:w="5580" w:type="dxa"/>
              </w:tcPr>
              <w:p w:rsidR="00600BAD" w:rsidRPr="00843200" w:rsidRDefault="00405322" w:rsidP="00101B9E">
                <w:pPr>
                  <w:pStyle w:val="BodyText"/>
                  <w:rPr>
                    <w:rFonts w:ascii="Arial" w:hAnsi="Arial" w:cs="Arial"/>
                    <w:sz w:val="22"/>
                    <w:szCs w:val="22"/>
                  </w:rPr>
                </w:pPr>
                <w:r w:rsidRPr="00405322">
                  <w:rPr>
                    <w:rFonts w:ascii="Arial" w:hAnsi="Arial" w:cs="Arial"/>
                    <w:sz w:val="22"/>
                    <w:szCs w:val="22"/>
                  </w:rPr>
                  <w:t>All activities outside of the contract time period have been removed in Annex B, Change 1</w:t>
                </w:r>
                <w:r>
                  <w:rPr>
                    <w:rFonts w:ascii="Arial" w:hAnsi="Arial" w:cs="Arial"/>
                    <w:sz w:val="22"/>
                    <w:szCs w:val="22"/>
                  </w:rPr>
                  <w:t>.</w:t>
                </w: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t>06</w:t>
                </w:r>
              </w:p>
            </w:tc>
            <w:tc>
              <w:tcPr>
                <w:tcW w:w="4282" w:type="dxa"/>
              </w:tcPr>
              <w:p w:rsidR="00600BAD" w:rsidRDefault="006A57A1" w:rsidP="00A825CB">
                <w:pPr>
                  <w:pStyle w:val="BodyText"/>
                  <w:rPr>
                    <w:rFonts w:ascii="Arial" w:hAnsi="Arial" w:cs="Arial"/>
                    <w:color w:val="4F81BD" w:themeColor="accent1"/>
                    <w:sz w:val="22"/>
                    <w:szCs w:val="22"/>
                  </w:rPr>
                </w:pPr>
                <w:r w:rsidRPr="006A57A1">
                  <w:rPr>
                    <w:rFonts w:ascii="Arial" w:hAnsi="Arial" w:cs="Arial"/>
                    <w:color w:val="4F81BD" w:themeColor="accent1"/>
                    <w:sz w:val="22"/>
                    <w:szCs w:val="22"/>
                  </w:rPr>
                  <w:t>On PDF, there are boxes marked "P" but with no explanation in the legend.  What does this mean?</w:t>
                </w:r>
              </w:p>
              <w:p w:rsidR="003F7C1C" w:rsidRPr="00293599" w:rsidRDefault="003F7C1C" w:rsidP="00A825CB">
                <w:pPr>
                  <w:pStyle w:val="BodyText"/>
                  <w:rPr>
                    <w:rFonts w:ascii="Arial" w:hAnsi="Arial" w:cs="Arial"/>
                    <w:color w:val="4F81BD" w:themeColor="accent1"/>
                    <w:sz w:val="22"/>
                    <w:szCs w:val="22"/>
                  </w:rPr>
                </w:pPr>
              </w:p>
            </w:tc>
            <w:tc>
              <w:tcPr>
                <w:tcW w:w="5580" w:type="dxa"/>
              </w:tcPr>
              <w:p w:rsidR="00600BAD" w:rsidRPr="00843200" w:rsidRDefault="00405322" w:rsidP="00101B9E">
                <w:pPr>
                  <w:pStyle w:val="BodyText"/>
                  <w:rPr>
                    <w:rFonts w:ascii="Arial" w:hAnsi="Arial" w:cs="Arial"/>
                    <w:sz w:val="22"/>
                    <w:szCs w:val="22"/>
                  </w:rPr>
                </w:pPr>
                <w:r w:rsidRPr="00405322">
                  <w:rPr>
                    <w:rFonts w:ascii="Arial" w:hAnsi="Arial" w:cs="Arial"/>
                    <w:sz w:val="22"/>
                    <w:szCs w:val="22"/>
                  </w:rPr>
                  <w:t>The two “P”s were typo’s they have been changed to X</w:t>
                </w:r>
                <w:r>
                  <w:rPr>
                    <w:rFonts w:ascii="Arial" w:hAnsi="Arial" w:cs="Arial"/>
                    <w:sz w:val="22"/>
                    <w:szCs w:val="22"/>
                  </w:rPr>
                  <w:t>.</w:t>
                </w: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t>07</w:t>
                </w:r>
              </w:p>
            </w:tc>
            <w:tc>
              <w:tcPr>
                <w:tcW w:w="4282" w:type="dxa"/>
              </w:tcPr>
              <w:p w:rsidR="006A57A1" w:rsidRPr="006A57A1" w:rsidRDefault="006A57A1" w:rsidP="006A57A1">
                <w:pPr>
                  <w:pStyle w:val="BodyText"/>
                  <w:rPr>
                    <w:rFonts w:ascii="Arial" w:hAnsi="Arial" w:cs="Arial"/>
                    <w:color w:val="4F81BD" w:themeColor="accent1"/>
                    <w:sz w:val="22"/>
                    <w:szCs w:val="22"/>
                    <w:lang w:val="en-US"/>
                  </w:rPr>
                </w:pPr>
                <w:r w:rsidRPr="006A57A1">
                  <w:rPr>
                    <w:rFonts w:ascii="Arial" w:hAnsi="Arial" w:cs="Arial"/>
                    <w:color w:val="4F81BD" w:themeColor="accent1"/>
                    <w:sz w:val="22"/>
                    <w:szCs w:val="22"/>
                    <w:lang w:val="en-US"/>
                  </w:rPr>
                  <w:t>There are 2 different Bid Validity dates mentioned in the tender; which is correct: </w:t>
                </w:r>
              </w:p>
              <w:p w:rsidR="006A57A1" w:rsidRPr="006A57A1" w:rsidRDefault="006A57A1" w:rsidP="006A57A1">
                <w:pPr>
                  <w:pStyle w:val="BodyText"/>
                  <w:rPr>
                    <w:rFonts w:ascii="Arial" w:hAnsi="Arial" w:cs="Arial"/>
                    <w:color w:val="4F81BD" w:themeColor="accent1"/>
                    <w:sz w:val="22"/>
                    <w:szCs w:val="22"/>
                    <w:lang w:val="fr-FR"/>
                  </w:rPr>
                </w:pPr>
                <w:r w:rsidRPr="006A57A1">
                  <w:rPr>
                    <w:rFonts w:ascii="Arial" w:hAnsi="Arial" w:cs="Arial"/>
                    <w:color w:val="4F81BD" w:themeColor="accent1"/>
                    <w:sz w:val="22"/>
                    <w:szCs w:val="22"/>
                    <w:lang w:val="fr-FR"/>
                  </w:rPr>
                  <w:t xml:space="preserve">a.  Part 1 Para 15 states 31 </w:t>
                </w:r>
                <w:proofErr w:type="spellStart"/>
                <w:r w:rsidRPr="006A57A1">
                  <w:rPr>
                    <w:rFonts w:ascii="Arial" w:hAnsi="Arial" w:cs="Arial"/>
                    <w:color w:val="4F81BD" w:themeColor="accent1"/>
                    <w:sz w:val="22"/>
                    <w:szCs w:val="22"/>
                    <w:lang w:val="fr-FR"/>
                  </w:rPr>
                  <w:t>Aug</w:t>
                </w:r>
                <w:proofErr w:type="spellEnd"/>
                <w:r w:rsidRPr="006A57A1">
                  <w:rPr>
                    <w:rFonts w:ascii="Arial" w:hAnsi="Arial" w:cs="Arial"/>
                    <w:color w:val="4F81BD" w:themeColor="accent1"/>
                    <w:sz w:val="22"/>
                    <w:szCs w:val="22"/>
                    <w:lang w:val="fr-FR"/>
                  </w:rPr>
                  <w:t xml:space="preserve"> 18.</w:t>
                </w:r>
              </w:p>
              <w:p w:rsidR="006A57A1" w:rsidRPr="006A57A1" w:rsidRDefault="006A57A1" w:rsidP="006A57A1">
                <w:pPr>
                  <w:pStyle w:val="BodyText"/>
                  <w:rPr>
                    <w:rFonts w:ascii="Arial" w:hAnsi="Arial" w:cs="Arial"/>
                    <w:color w:val="4F81BD" w:themeColor="accent1"/>
                    <w:sz w:val="22"/>
                    <w:szCs w:val="22"/>
                    <w:lang w:val="en-US"/>
                  </w:rPr>
                </w:pPr>
                <w:r w:rsidRPr="006A57A1">
                  <w:rPr>
                    <w:rFonts w:ascii="Arial" w:hAnsi="Arial" w:cs="Arial"/>
                    <w:color w:val="4F81BD" w:themeColor="accent1"/>
                    <w:sz w:val="22"/>
                    <w:szCs w:val="22"/>
                    <w:lang w:val="en-US"/>
                  </w:rPr>
                  <w:t>b.</w:t>
                </w:r>
                <w:proofErr w:type="gramStart"/>
                <w:r w:rsidRPr="006A57A1">
                  <w:rPr>
                    <w:rFonts w:ascii="Arial" w:hAnsi="Arial" w:cs="Arial"/>
                    <w:color w:val="4F81BD" w:themeColor="accent1"/>
                    <w:sz w:val="22"/>
                    <w:szCs w:val="22"/>
                    <w:lang w:val="en-US"/>
                  </w:rPr>
                  <w:t>  Part</w:t>
                </w:r>
                <w:proofErr w:type="gramEnd"/>
                <w:r w:rsidRPr="006A57A1">
                  <w:rPr>
                    <w:rFonts w:ascii="Arial" w:hAnsi="Arial" w:cs="Arial"/>
                    <w:color w:val="4F81BD" w:themeColor="accent1"/>
                    <w:sz w:val="22"/>
                    <w:szCs w:val="22"/>
                    <w:lang w:val="en-US"/>
                  </w:rPr>
                  <w:t xml:space="preserve"> I Annex A-4 states 31 Dec 18.</w:t>
                </w:r>
              </w:p>
              <w:p w:rsidR="00600BAD" w:rsidRPr="006A57A1" w:rsidRDefault="00600BAD" w:rsidP="00A825CB">
                <w:pPr>
                  <w:pStyle w:val="BodyText"/>
                  <w:rPr>
                    <w:rFonts w:ascii="Arial" w:hAnsi="Arial" w:cs="Arial"/>
                    <w:color w:val="4F81BD" w:themeColor="accent1"/>
                    <w:sz w:val="22"/>
                    <w:szCs w:val="22"/>
                    <w:lang w:val="en-US"/>
                  </w:rPr>
                </w:pPr>
              </w:p>
            </w:tc>
            <w:tc>
              <w:tcPr>
                <w:tcW w:w="5580" w:type="dxa"/>
              </w:tcPr>
              <w:p w:rsidR="00600BAD" w:rsidRDefault="004347BA" w:rsidP="00101B9E">
                <w:pPr>
                  <w:pStyle w:val="BodyText"/>
                  <w:rPr>
                    <w:rFonts w:ascii="Arial" w:hAnsi="Arial" w:cs="Arial"/>
                    <w:sz w:val="22"/>
                    <w:szCs w:val="22"/>
                  </w:rPr>
                </w:pPr>
                <w:r>
                  <w:rPr>
                    <w:rFonts w:ascii="Arial" w:hAnsi="Arial" w:cs="Arial"/>
                    <w:sz w:val="22"/>
                    <w:szCs w:val="22"/>
                  </w:rPr>
                  <w:t xml:space="preserve">The correct Bid Validity date is 31 Dec 2018. </w:t>
                </w:r>
              </w:p>
              <w:p w:rsidR="005F6A72" w:rsidRPr="00843200" w:rsidRDefault="005F6A72" w:rsidP="00101B9E">
                <w:pPr>
                  <w:pStyle w:val="BodyText"/>
                  <w:rPr>
                    <w:rFonts w:ascii="Arial" w:hAnsi="Arial" w:cs="Arial"/>
                    <w:sz w:val="22"/>
                    <w:szCs w:val="22"/>
                  </w:rPr>
                </w:pPr>
              </w:p>
            </w:tc>
          </w:tr>
          <w:tr w:rsidR="00600BAD" w:rsidRPr="001A0E33" w:rsidTr="009F17E6">
            <w:tc>
              <w:tcPr>
                <w:tcW w:w="578" w:type="dxa"/>
              </w:tcPr>
              <w:p w:rsidR="00600BAD" w:rsidRPr="001A0E33" w:rsidRDefault="00600BAD" w:rsidP="00101B9E">
                <w:pPr>
                  <w:rPr>
                    <w:rFonts w:ascii="Arial" w:hAnsi="Arial" w:cs="Arial"/>
                    <w:sz w:val="22"/>
                    <w:szCs w:val="22"/>
                  </w:rPr>
                </w:pPr>
                <w:r>
                  <w:rPr>
                    <w:rFonts w:ascii="Arial" w:hAnsi="Arial" w:cs="Arial"/>
                    <w:sz w:val="22"/>
                    <w:szCs w:val="22"/>
                  </w:rPr>
                  <w:t>08</w:t>
                </w:r>
              </w:p>
            </w:tc>
            <w:tc>
              <w:tcPr>
                <w:tcW w:w="4282" w:type="dxa"/>
              </w:tcPr>
              <w:p w:rsidR="00600BAD" w:rsidRPr="006A57A1" w:rsidRDefault="006A57A1" w:rsidP="00A825CB">
                <w:pPr>
                  <w:pStyle w:val="BodyText"/>
                  <w:rPr>
                    <w:rFonts w:ascii="Arial" w:hAnsi="Arial" w:cs="Arial"/>
                    <w:color w:val="4F81BD" w:themeColor="accent1"/>
                    <w:sz w:val="22"/>
                    <w:szCs w:val="22"/>
                  </w:rPr>
                </w:pPr>
                <w:r w:rsidRPr="006A57A1">
                  <w:rPr>
                    <w:rFonts w:ascii="Arial" w:hAnsi="Arial" w:cs="Arial"/>
                    <w:color w:val="4F81BD" w:themeColor="accent1"/>
                    <w:sz w:val="22"/>
                    <w:szCs w:val="22"/>
                    <w:lang w:val="en-US"/>
                  </w:rPr>
                  <w:t>Para 1.3.2 of Part III, Section B, Chapter 2 states that "</w:t>
                </w:r>
                <w:r w:rsidRPr="006A57A1">
                  <w:rPr>
                    <w:rFonts w:ascii="Arial" w:hAnsi="Arial" w:cs="Arial"/>
                    <w:color w:val="4F81BD" w:themeColor="accent1"/>
                    <w:sz w:val="22"/>
                    <w:szCs w:val="22"/>
                  </w:rPr>
                  <w:t>Expected tasked travel costs will not be a consideration for contract award and should not be factored into the price proposal."  The PDF indicates where tasked travel is likely both in the "Exercise Process" block and the "Scenario Production" block.  What part of travel costs would not be included within this - and so would need to be identified by the Contractor - noting that travel costs could include o</w:t>
                </w:r>
                <w:r w:rsidR="003F7C1C">
                  <w:rPr>
                    <w:rFonts w:ascii="Arial" w:hAnsi="Arial" w:cs="Arial"/>
                    <w:color w:val="4F81BD" w:themeColor="accent1"/>
                    <w:sz w:val="22"/>
                    <w:szCs w:val="22"/>
                  </w:rPr>
                  <w:t>f air, taxi, food, </w:t>
                </w:r>
                <w:r w:rsidRPr="006A57A1">
                  <w:rPr>
                    <w:rFonts w:ascii="Arial" w:hAnsi="Arial" w:cs="Arial"/>
                    <w:color w:val="4F81BD" w:themeColor="accent1"/>
                    <w:sz w:val="22"/>
                    <w:szCs w:val="22"/>
                  </w:rPr>
                  <w:t xml:space="preserve">accommodation </w:t>
                </w:r>
                <w:proofErr w:type="spellStart"/>
                <w:r w:rsidRPr="006A57A1">
                  <w:rPr>
                    <w:rFonts w:ascii="Arial" w:hAnsi="Arial" w:cs="Arial"/>
                    <w:color w:val="4F81BD" w:themeColor="accent1"/>
                    <w:sz w:val="22"/>
                    <w:szCs w:val="22"/>
                  </w:rPr>
                  <w:t>etc</w:t>
                </w:r>
                <w:proofErr w:type="spellEnd"/>
                <w:r w:rsidRPr="006A57A1">
                  <w:rPr>
                    <w:rFonts w:ascii="Arial" w:hAnsi="Arial" w:cs="Arial"/>
                    <w:color w:val="4F81BD" w:themeColor="accent1"/>
                    <w:sz w:val="22"/>
                    <w:szCs w:val="22"/>
                  </w:rPr>
                  <w:t>?</w:t>
                </w:r>
              </w:p>
            </w:tc>
            <w:tc>
              <w:tcPr>
                <w:tcW w:w="5580" w:type="dxa"/>
              </w:tcPr>
              <w:p w:rsidR="003F0F99" w:rsidRPr="00BA7529" w:rsidRDefault="003F0F99" w:rsidP="00101B9E">
                <w:pPr>
                  <w:pStyle w:val="BodyText"/>
                  <w:rPr>
                    <w:rFonts w:ascii="Arial" w:hAnsi="Arial" w:cs="Arial"/>
                    <w:sz w:val="22"/>
                    <w:szCs w:val="22"/>
                  </w:rPr>
                </w:pPr>
                <w:r w:rsidRPr="003F0F99">
                  <w:rPr>
                    <w:rFonts w:ascii="Arial" w:hAnsi="Arial" w:cs="Arial"/>
                    <w:i/>
                    <w:sz w:val="22"/>
                    <w:szCs w:val="22"/>
                  </w:rPr>
                  <w:t>Provider travels</w:t>
                </w:r>
                <w:r w:rsidR="00366B7A">
                  <w:rPr>
                    <w:rFonts w:ascii="Arial" w:hAnsi="Arial" w:cs="Arial"/>
                    <w:sz w:val="22"/>
                    <w:szCs w:val="22"/>
                  </w:rPr>
                  <w:t xml:space="preserve"> (</w:t>
                </w:r>
                <w:r>
                  <w:rPr>
                    <w:rFonts w:ascii="Arial" w:hAnsi="Arial" w:cs="Arial"/>
                    <w:sz w:val="22"/>
                    <w:szCs w:val="22"/>
                  </w:rPr>
                  <w:t xml:space="preserve">travels related to </w:t>
                </w:r>
                <w:r w:rsidR="00366B7A">
                  <w:rPr>
                    <w:rFonts w:ascii="Arial" w:hAnsi="Arial" w:cs="Arial"/>
                    <w:sz w:val="22"/>
                    <w:szCs w:val="22"/>
                  </w:rPr>
                  <w:t>providing deliverables)</w:t>
                </w:r>
                <w:r>
                  <w:rPr>
                    <w:rFonts w:ascii="Arial" w:hAnsi="Arial" w:cs="Arial"/>
                    <w:sz w:val="22"/>
                    <w:szCs w:val="22"/>
                  </w:rPr>
                  <w:t xml:space="preserve"> will have to be planned, costed and managed by the provider.</w:t>
                </w:r>
                <w:r w:rsidR="00366B7A">
                  <w:rPr>
                    <w:rFonts w:ascii="Arial" w:hAnsi="Arial" w:cs="Arial"/>
                    <w:sz w:val="22"/>
                    <w:szCs w:val="22"/>
                  </w:rPr>
                  <w:t xml:space="preserve"> These travels do not need to be identified by the supplier to JWC, except when part of a</w:t>
                </w:r>
                <w:r>
                  <w:rPr>
                    <w:rFonts w:ascii="Arial" w:hAnsi="Arial" w:cs="Arial"/>
                    <w:sz w:val="22"/>
                    <w:szCs w:val="22"/>
                  </w:rPr>
                  <w:t xml:space="preserve"> Basis of Estimate(s) in the bid. </w:t>
                </w:r>
              </w:p>
              <w:p w:rsidR="005853F7" w:rsidRDefault="0076693D" w:rsidP="005853F7">
                <w:pPr>
                  <w:pStyle w:val="BodyText"/>
                  <w:rPr>
                    <w:rFonts w:ascii="Arial" w:hAnsi="Arial" w:cs="Arial"/>
                    <w:sz w:val="22"/>
                    <w:szCs w:val="22"/>
                  </w:rPr>
                </w:pPr>
                <w:r w:rsidRPr="0076693D">
                  <w:rPr>
                    <w:rFonts w:ascii="Arial" w:hAnsi="Arial" w:cs="Arial"/>
                    <w:i/>
                    <w:sz w:val="22"/>
                    <w:szCs w:val="22"/>
                  </w:rPr>
                  <w:t>Tasked travels</w:t>
                </w:r>
                <w:r>
                  <w:rPr>
                    <w:rFonts w:ascii="Arial" w:hAnsi="Arial" w:cs="Arial"/>
                    <w:sz w:val="22"/>
                    <w:szCs w:val="22"/>
                  </w:rPr>
                  <w:t xml:space="preserve"> </w:t>
                </w:r>
                <w:r w:rsidR="007B5E6C">
                  <w:rPr>
                    <w:rFonts w:ascii="Arial" w:hAnsi="Arial" w:cs="Arial"/>
                    <w:sz w:val="22"/>
                    <w:szCs w:val="22"/>
                  </w:rPr>
                  <w:t xml:space="preserve">and all </w:t>
                </w:r>
                <w:r w:rsidR="003F0F99">
                  <w:rPr>
                    <w:rFonts w:ascii="Arial" w:hAnsi="Arial" w:cs="Arial"/>
                    <w:sz w:val="22"/>
                    <w:szCs w:val="22"/>
                  </w:rPr>
                  <w:t>related</w:t>
                </w:r>
                <w:r w:rsidR="007B5E6C">
                  <w:rPr>
                    <w:rFonts w:ascii="Arial" w:hAnsi="Arial" w:cs="Arial"/>
                    <w:sz w:val="22"/>
                    <w:szCs w:val="22"/>
                  </w:rPr>
                  <w:t xml:space="preserve"> costs</w:t>
                </w:r>
                <w:r w:rsidR="003F0F99">
                  <w:rPr>
                    <w:rFonts w:ascii="Arial" w:hAnsi="Arial" w:cs="Arial"/>
                    <w:sz w:val="22"/>
                    <w:szCs w:val="22"/>
                  </w:rPr>
                  <w:t xml:space="preserve"> </w:t>
                </w:r>
                <w:r>
                  <w:rPr>
                    <w:rFonts w:ascii="Arial" w:hAnsi="Arial" w:cs="Arial"/>
                    <w:sz w:val="22"/>
                    <w:szCs w:val="22"/>
                  </w:rPr>
                  <w:t>will not be a consideration for contract award</w:t>
                </w:r>
                <w:r w:rsidR="005853F7">
                  <w:rPr>
                    <w:rFonts w:ascii="Arial" w:hAnsi="Arial" w:cs="Arial"/>
                    <w:sz w:val="22"/>
                    <w:szCs w:val="22"/>
                  </w:rPr>
                  <w:t>, as they a</w:t>
                </w:r>
                <w:r w:rsidR="005853F7" w:rsidRPr="001A0E33">
                  <w:rPr>
                    <w:rFonts w:ascii="Arial" w:hAnsi="Arial" w:cs="Arial"/>
                    <w:sz w:val="22"/>
                    <w:szCs w:val="22"/>
                  </w:rPr>
                  <w:t xml:space="preserve">re travels the provider is </w:t>
                </w:r>
                <w:r w:rsidR="005853F7">
                  <w:rPr>
                    <w:rFonts w:ascii="Arial" w:hAnsi="Arial" w:cs="Arial"/>
                    <w:sz w:val="22"/>
                    <w:szCs w:val="22"/>
                  </w:rPr>
                  <w:t xml:space="preserve">specifically </w:t>
                </w:r>
                <w:r w:rsidR="005853F7" w:rsidRPr="001A0E33">
                  <w:rPr>
                    <w:rFonts w:ascii="Arial" w:hAnsi="Arial" w:cs="Arial"/>
                    <w:sz w:val="22"/>
                    <w:szCs w:val="22"/>
                  </w:rPr>
                  <w:t>asked to do on behalf of JWC and will be fully reimbursed.</w:t>
                </w:r>
              </w:p>
              <w:p w:rsidR="0076693D" w:rsidRDefault="0076693D" w:rsidP="00101B9E">
                <w:pPr>
                  <w:pStyle w:val="BodyText"/>
                  <w:rPr>
                    <w:rFonts w:ascii="Arial" w:hAnsi="Arial" w:cs="Arial"/>
                    <w:sz w:val="22"/>
                    <w:szCs w:val="22"/>
                  </w:rPr>
                </w:pPr>
                <w:r>
                  <w:rPr>
                    <w:rFonts w:ascii="Arial" w:hAnsi="Arial" w:cs="Arial"/>
                    <w:sz w:val="22"/>
                    <w:szCs w:val="22"/>
                  </w:rPr>
                  <w:t xml:space="preserve"> </w:t>
                </w:r>
              </w:p>
              <w:p w:rsidR="0076693D" w:rsidRPr="00843200" w:rsidRDefault="0076693D" w:rsidP="00101B9E">
                <w:pPr>
                  <w:pStyle w:val="BodyText"/>
                  <w:rPr>
                    <w:rFonts w:ascii="Arial" w:hAnsi="Arial" w:cs="Arial"/>
                    <w:sz w:val="22"/>
                    <w:szCs w:val="22"/>
                  </w:rPr>
                </w:pPr>
                <w:r>
                  <w:rPr>
                    <w:rFonts w:ascii="Arial" w:hAnsi="Arial" w:cs="Arial"/>
                    <w:sz w:val="22"/>
                    <w:szCs w:val="22"/>
                  </w:rPr>
                  <w:t xml:space="preserve">Se JWC reply under question no. 02 for further information regarding tasked travel and provider travel. </w:t>
                </w:r>
              </w:p>
            </w:tc>
          </w:tr>
          <w:tr w:rsidR="00913DEC" w:rsidRPr="001A0E33" w:rsidTr="009F17E6">
            <w:tc>
              <w:tcPr>
                <w:tcW w:w="578" w:type="dxa"/>
              </w:tcPr>
              <w:p w:rsidR="00913DEC" w:rsidRDefault="00913DEC" w:rsidP="00101B9E">
                <w:pPr>
                  <w:rPr>
                    <w:rFonts w:ascii="Arial" w:hAnsi="Arial" w:cs="Arial"/>
                    <w:sz w:val="22"/>
                    <w:szCs w:val="22"/>
                  </w:rPr>
                </w:pPr>
                <w:r>
                  <w:rPr>
                    <w:rFonts w:ascii="Arial" w:hAnsi="Arial" w:cs="Arial"/>
                    <w:sz w:val="22"/>
                    <w:szCs w:val="22"/>
                  </w:rPr>
                  <w:t>09</w:t>
                </w:r>
              </w:p>
            </w:tc>
            <w:tc>
              <w:tcPr>
                <w:tcW w:w="4282" w:type="dxa"/>
              </w:tcPr>
              <w:p w:rsidR="00913DEC" w:rsidRPr="006A57A1" w:rsidRDefault="00913DEC" w:rsidP="00A825CB">
                <w:pPr>
                  <w:pStyle w:val="BodyText"/>
                  <w:rPr>
                    <w:rFonts w:ascii="Arial" w:hAnsi="Arial" w:cs="Arial"/>
                    <w:color w:val="4F81BD" w:themeColor="accent1"/>
                    <w:sz w:val="22"/>
                    <w:szCs w:val="22"/>
                    <w:lang w:val="en-US"/>
                  </w:rPr>
                </w:pPr>
                <w:r w:rsidRPr="00913DEC">
                  <w:rPr>
                    <w:rFonts w:ascii="Arial" w:hAnsi="Arial" w:cs="Arial"/>
                    <w:color w:val="4F81BD" w:themeColor="accent1"/>
                    <w:sz w:val="22"/>
                    <w:szCs w:val="22"/>
                  </w:rPr>
                  <w:t>What is the expected date of contract award?  I can only find reference to bid proposals validity dates which is already subject to subject the an earlier clarification question at Para 4 of Ref B</w:t>
                </w:r>
                <w:r>
                  <w:rPr>
                    <w:rFonts w:ascii="Arial" w:hAnsi="Arial" w:cs="Arial"/>
                    <w:color w:val="222222"/>
                    <w:sz w:val="19"/>
                    <w:szCs w:val="19"/>
                  </w:rPr>
                  <w:t>.</w:t>
                </w:r>
              </w:p>
            </w:tc>
            <w:tc>
              <w:tcPr>
                <w:tcW w:w="5580" w:type="dxa"/>
              </w:tcPr>
              <w:p w:rsidR="00913DEC" w:rsidRPr="00843200" w:rsidRDefault="004347BA" w:rsidP="004347BA">
                <w:pPr>
                  <w:pStyle w:val="BodyText"/>
                  <w:rPr>
                    <w:rFonts w:ascii="Arial" w:hAnsi="Arial" w:cs="Arial"/>
                    <w:sz w:val="22"/>
                    <w:szCs w:val="22"/>
                  </w:rPr>
                </w:pPr>
                <w:r>
                  <w:rPr>
                    <w:rFonts w:ascii="Arial" w:hAnsi="Arial" w:cs="Arial"/>
                    <w:sz w:val="22"/>
                    <w:szCs w:val="22"/>
                  </w:rPr>
                  <w:t xml:space="preserve">Contract award </w:t>
                </w:r>
                <w:r w:rsidR="00F40613">
                  <w:rPr>
                    <w:rFonts w:ascii="Arial" w:hAnsi="Arial" w:cs="Arial"/>
                    <w:sz w:val="22"/>
                    <w:szCs w:val="22"/>
                  </w:rPr>
                  <w:t>is expected to be made late June or early July</w:t>
                </w:r>
                <w:r>
                  <w:rPr>
                    <w:rFonts w:ascii="Arial" w:hAnsi="Arial" w:cs="Arial"/>
                    <w:sz w:val="22"/>
                    <w:szCs w:val="22"/>
                  </w:rPr>
                  <w:t>.</w:t>
                </w:r>
              </w:p>
            </w:tc>
          </w:tr>
        </w:tbl>
        <w:p w:rsidR="00CA062E" w:rsidRPr="001A0E33" w:rsidRDefault="00CA062E" w:rsidP="00CA062E">
          <w:pPr>
            <w:rPr>
              <w:rFonts w:ascii="Arial" w:hAnsi="Arial" w:cs="Arial"/>
              <w:sz w:val="22"/>
            </w:rPr>
          </w:pPr>
        </w:p>
        <w:p w:rsidR="0001488D" w:rsidRPr="001A0E33" w:rsidRDefault="0001488D">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8522"/>
          </w:tblGrid>
          <w:tr w:rsidR="0001488D" w:rsidRPr="001A0E33">
            <w:tc>
              <w:tcPr>
                <w:tcW w:w="5000" w:type="pct"/>
              </w:tcPr>
              <w:p w:rsidR="0001488D" w:rsidRPr="001A0E33" w:rsidRDefault="0001488D" w:rsidP="009630B5">
                <w:pPr>
                  <w:pStyle w:val="NoSpacing"/>
                  <w:rPr>
                    <w:rFonts w:ascii="Arial" w:hAnsi="Arial" w:cs="Arial"/>
                  </w:rPr>
                </w:pPr>
              </w:p>
            </w:tc>
          </w:tr>
        </w:tbl>
        <w:p w:rsidR="0001488D" w:rsidRPr="001A0E33" w:rsidRDefault="00405322">
          <w:pPr>
            <w:rPr>
              <w:rFonts w:ascii="Arial" w:hAnsi="Arial" w:cs="Arial"/>
              <w:lang w:val="nb-NO"/>
            </w:rPr>
          </w:pPr>
        </w:p>
      </w:sdtContent>
    </w:sdt>
    <w:sectPr w:rsidR="0001488D" w:rsidRPr="001A0E33" w:rsidSect="00CA062E">
      <w:footerReference w:type="first" r:id="rId12"/>
      <w:pgSz w:w="11906" w:h="16838"/>
      <w:pgMar w:top="1260" w:right="1800" w:bottom="1418" w:left="1800" w:header="708" w:footer="28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22" w:rsidRDefault="00405322">
      <w:r>
        <w:separator/>
      </w:r>
    </w:p>
  </w:endnote>
  <w:endnote w:type="continuationSeparator" w:id="0">
    <w:p w:rsidR="00405322" w:rsidRDefault="0040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22" w:rsidRDefault="00405322" w:rsidP="00CA062E">
    <w:pPr>
      <w:pStyle w:val="Footer"/>
      <w:ind w:right="360"/>
      <w:rPr>
        <w:rFonts w:ascii="Arial" w:hAnsi="Arial" w:cs="Arial"/>
        <w:sz w:val="18"/>
      </w:rPr>
    </w:pPr>
    <w:r>
      <w:rPr>
        <w:rFonts w:ascii="Arial" w:hAnsi="Arial" w:cs="Arial"/>
        <w:sz w:val="18"/>
      </w:rPr>
      <w:t xml:space="preserve">Questions &amp; Answers to IFIB ACT-JWC-18-33 </w:t>
    </w:r>
  </w:p>
  <w:p w:rsidR="00405322" w:rsidRDefault="00405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22" w:rsidRDefault="00405322">
      <w:r>
        <w:separator/>
      </w:r>
    </w:p>
  </w:footnote>
  <w:footnote w:type="continuationSeparator" w:id="0">
    <w:p w:rsidR="00405322" w:rsidRDefault="00405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FA"/>
    <w:multiLevelType w:val="hybridMultilevel"/>
    <w:tmpl w:val="5F9C81E2"/>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464A"/>
    <w:multiLevelType w:val="hybridMultilevel"/>
    <w:tmpl w:val="8D3E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B97"/>
    <w:multiLevelType w:val="multilevel"/>
    <w:tmpl w:val="C85AA5A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Wingdings" w:hAnsi="Wingding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2731440"/>
    <w:multiLevelType w:val="multilevel"/>
    <w:tmpl w:val="ED9295C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07A208DE"/>
    <w:multiLevelType w:val="hybridMultilevel"/>
    <w:tmpl w:val="D2F453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A40E1A">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D1FC5"/>
    <w:multiLevelType w:val="hybridMultilevel"/>
    <w:tmpl w:val="DCCC3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FA5329"/>
    <w:multiLevelType w:val="hybridMultilevel"/>
    <w:tmpl w:val="B0146D5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63218"/>
    <w:multiLevelType w:val="hybridMultilevel"/>
    <w:tmpl w:val="541E5B0E"/>
    <w:lvl w:ilvl="0" w:tplc="CBAE7B8E">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0FC22B55"/>
    <w:multiLevelType w:val="hybridMultilevel"/>
    <w:tmpl w:val="812840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510DA6"/>
    <w:multiLevelType w:val="hybridMultilevel"/>
    <w:tmpl w:val="B1CC5EFC"/>
    <w:lvl w:ilvl="0" w:tplc="69C4F8C4">
      <w:start w:val="22"/>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1E35781"/>
    <w:multiLevelType w:val="multilevel"/>
    <w:tmpl w:val="0D48F1E2"/>
    <w:lvl w:ilvl="0">
      <w:start w:val="1"/>
      <w:numFmt w:val="decimal"/>
      <w:lvlText w:val="%1."/>
      <w:lvlJc w:val="left"/>
      <w:pPr>
        <w:ind w:left="720" w:hanging="360"/>
      </w:pPr>
      <w:rPr>
        <w:rFonts w:hint="default"/>
      </w:rPr>
    </w:lvl>
    <w:lvl w:ilvl="1">
      <w:start w:val="1"/>
      <w:numFmt w:val="decimal"/>
      <w:lvlText w:val="6.%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12A15021"/>
    <w:multiLevelType w:val="hybridMultilevel"/>
    <w:tmpl w:val="8B8CF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7247C5"/>
    <w:multiLevelType w:val="hybridMultilevel"/>
    <w:tmpl w:val="8FFC3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802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8201AD"/>
    <w:multiLevelType w:val="multilevel"/>
    <w:tmpl w:val="EDEC170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1B3730F3"/>
    <w:multiLevelType w:val="multilevel"/>
    <w:tmpl w:val="ADDEB0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1E502CBC"/>
    <w:multiLevelType w:val="hybridMultilevel"/>
    <w:tmpl w:val="CAE2E0DA"/>
    <w:lvl w:ilvl="0" w:tplc="04090019">
      <w:start w:val="1"/>
      <w:numFmt w:val="lowerLetter"/>
      <w:lvlText w:val="%1."/>
      <w:lvlJc w:val="left"/>
      <w:pPr>
        <w:ind w:left="720" w:hanging="360"/>
      </w:pPr>
    </w:lvl>
    <w:lvl w:ilvl="1" w:tplc="B02ADDDC">
      <w:start w:val="1"/>
      <w:numFmt w:val="decimal"/>
      <w:lvlText w:val="(%2)"/>
      <w:lvlJc w:val="left"/>
      <w:pPr>
        <w:ind w:left="1440" w:hanging="360"/>
      </w:pPr>
      <w:rPr>
        <w:rFonts w:hint="default"/>
      </w:rPr>
    </w:lvl>
    <w:lvl w:ilvl="2" w:tplc="873EC792">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8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755C0"/>
    <w:multiLevelType w:val="hybridMultilevel"/>
    <w:tmpl w:val="22882342"/>
    <w:lvl w:ilvl="0" w:tplc="91B091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91B091D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2E8659E"/>
    <w:multiLevelType w:val="hybridMultilevel"/>
    <w:tmpl w:val="7A687A5E"/>
    <w:lvl w:ilvl="0" w:tplc="CD68A0D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310E4"/>
    <w:multiLevelType w:val="hybridMultilevel"/>
    <w:tmpl w:val="35BA7682"/>
    <w:lvl w:ilvl="0" w:tplc="0F98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9E485E"/>
    <w:multiLevelType w:val="hybridMultilevel"/>
    <w:tmpl w:val="8FFC37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abstractNum w:abstractNumId="22">
    <w:nsid w:val="2B7D0458"/>
    <w:multiLevelType w:val="hybridMultilevel"/>
    <w:tmpl w:val="C0E0E208"/>
    <w:lvl w:ilvl="0" w:tplc="4A24D01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DA7AAF"/>
    <w:multiLevelType w:val="hybridMultilevel"/>
    <w:tmpl w:val="D7E4F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1A110F"/>
    <w:multiLevelType w:val="hybridMultilevel"/>
    <w:tmpl w:val="041E4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B8362D"/>
    <w:multiLevelType w:val="hybridMultilevel"/>
    <w:tmpl w:val="770ED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F567AC"/>
    <w:multiLevelType w:val="hybridMultilevel"/>
    <w:tmpl w:val="AEF6CA82"/>
    <w:lvl w:ilvl="0" w:tplc="E2462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7531BE"/>
    <w:multiLevelType w:val="hybridMultilevel"/>
    <w:tmpl w:val="E2E02DC6"/>
    <w:lvl w:ilvl="0" w:tplc="04090005">
      <w:start w:val="1"/>
      <w:numFmt w:val="bullet"/>
      <w:lvlText w:val=""/>
      <w:lvlJc w:val="left"/>
      <w:pPr>
        <w:ind w:left="1516" w:hanging="360"/>
      </w:pPr>
      <w:rPr>
        <w:rFonts w:ascii="Wingdings" w:hAnsi="Wingdings" w:hint="default"/>
      </w:rPr>
    </w:lvl>
    <w:lvl w:ilvl="1" w:tplc="04090005">
      <w:start w:val="1"/>
      <w:numFmt w:val="bullet"/>
      <w:lvlText w:val=""/>
      <w:lvlJc w:val="left"/>
      <w:pPr>
        <w:ind w:left="2236" w:hanging="360"/>
      </w:pPr>
      <w:rPr>
        <w:rFonts w:ascii="Wingdings" w:hAnsi="Wingdings" w:hint="default"/>
      </w:rPr>
    </w:lvl>
    <w:lvl w:ilvl="2" w:tplc="0409001B">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8">
    <w:nsid w:val="3A8A7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CC474A7"/>
    <w:multiLevelType w:val="hybridMultilevel"/>
    <w:tmpl w:val="EF8EA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F24BB7"/>
    <w:multiLevelType w:val="hybridMultilevel"/>
    <w:tmpl w:val="900EDA70"/>
    <w:lvl w:ilvl="0" w:tplc="D8FE13D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FA44E0"/>
    <w:multiLevelType w:val="hybridMultilevel"/>
    <w:tmpl w:val="35BA7682"/>
    <w:lvl w:ilvl="0" w:tplc="0F987A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2E2210E"/>
    <w:multiLevelType w:val="hybridMultilevel"/>
    <w:tmpl w:val="8A48855C"/>
    <w:lvl w:ilvl="0" w:tplc="9CCA8166">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DD31BB"/>
    <w:multiLevelType w:val="hybridMultilevel"/>
    <w:tmpl w:val="BEE884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180CAC"/>
    <w:multiLevelType w:val="hybridMultilevel"/>
    <w:tmpl w:val="9C8AFFD6"/>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0F68D6"/>
    <w:multiLevelType w:val="hybridMultilevel"/>
    <w:tmpl w:val="DEDA0ED6"/>
    <w:lvl w:ilvl="0" w:tplc="4A24D012">
      <w:start w:val="1"/>
      <w:numFmt w:val="decimal"/>
      <w:lvlText w:val="(%1)"/>
      <w:lvlJc w:val="left"/>
      <w:pPr>
        <w:ind w:left="1140" w:hanging="360"/>
      </w:pPr>
      <w:rPr>
        <w:rFonts w:ascii="Arial" w:eastAsia="Times New Roman" w:hAnsi="Arial" w:cs="Arial"/>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4A101D75"/>
    <w:multiLevelType w:val="hybridMultilevel"/>
    <w:tmpl w:val="92B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7A0AA1"/>
    <w:multiLevelType w:val="hybridMultilevel"/>
    <w:tmpl w:val="3BBC0908"/>
    <w:lvl w:ilvl="0" w:tplc="2D405322">
      <w:start w:val="1"/>
      <w:numFmt w:val="decimal"/>
      <w:lvlText w:val="A-%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180"/>
      </w:pPr>
      <w:rPr>
        <w:rFonts w:ascii="Wingdings" w:hAnsi="Wingding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4EB656AB"/>
    <w:multiLevelType w:val="multilevel"/>
    <w:tmpl w:val="EDEC170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nsid w:val="51B71AC3"/>
    <w:multiLevelType w:val="hybridMultilevel"/>
    <w:tmpl w:val="E9D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012443"/>
    <w:multiLevelType w:val="hybridMultilevel"/>
    <w:tmpl w:val="8FFC37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50D1264"/>
    <w:multiLevelType w:val="hybridMultilevel"/>
    <w:tmpl w:val="850E1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322151"/>
    <w:multiLevelType w:val="hybridMultilevel"/>
    <w:tmpl w:val="B26A3640"/>
    <w:lvl w:ilvl="0" w:tplc="824E535C">
      <w:start w:val="1"/>
      <w:numFmt w:val="lowerLetter"/>
      <w:lvlText w:val="%1."/>
      <w:lvlJc w:val="left"/>
      <w:pPr>
        <w:ind w:left="1080" w:hanging="360"/>
      </w:pPr>
      <w:rPr>
        <w:rFonts w:hint="default"/>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9E648E"/>
    <w:multiLevelType w:val="hybridMultilevel"/>
    <w:tmpl w:val="AEF4642C"/>
    <w:lvl w:ilvl="0" w:tplc="04090019">
      <w:start w:val="1"/>
      <w:numFmt w:val="lowerLetter"/>
      <w:lvlText w:val="%1."/>
      <w:lvlJc w:val="left"/>
      <w:pPr>
        <w:tabs>
          <w:tab w:val="num" w:pos="720"/>
        </w:tabs>
        <w:ind w:left="720" w:hanging="360"/>
      </w:pPr>
      <w:rPr>
        <w:rFonts w:hint="default"/>
      </w:rPr>
    </w:lvl>
    <w:lvl w:ilvl="1" w:tplc="EB50E8E0">
      <w:start w:val="1"/>
      <w:numFmt w:val="decimal"/>
      <w:lvlText w:val="%2.0"/>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60D6E55"/>
    <w:multiLevelType w:val="hybridMultilevel"/>
    <w:tmpl w:val="EA52FC08"/>
    <w:lvl w:ilvl="0" w:tplc="EC2E4F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196CAE"/>
    <w:multiLevelType w:val="hybridMultilevel"/>
    <w:tmpl w:val="F2484EF2"/>
    <w:lvl w:ilvl="0" w:tplc="96907D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91B091D2">
      <w:start w:val="1"/>
      <w:numFmt w:val="decimal"/>
      <w:lvlText w:val="(%3)"/>
      <w:lvlJc w:val="left"/>
      <w:pPr>
        <w:ind w:left="1980" w:hanging="360"/>
      </w:pPr>
      <w:rPr>
        <w:rFonts w:hint="default"/>
      </w:rPr>
    </w:lvl>
    <w:lvl w:ilvl="3" w:tplc="4A24D012">
      <w:start w:val="1"/>
      <w:numFmt w:val="decimal"/>
      <w:lvlText w:val="(%4)"/>
      <w:lvlJc w:val="left"/>
      <w:pPr>
        <w:ind w:left="2520" w:hanging="360"/>
      </w:pPr>
      <w:rPr>
        <w:rFonts w:ascii="Arial" w:eastAsia="Times New Roman" w:hAnsi="Arial" w:cs="Arial"/>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583D5DE9"/>
    <w:multiLevelType w:val="hybridMultilevel"/>
    <w:tmpl w:val="05A27108"/>
    <w:lvl w:ilvl="0" w:tplc="4CD87C2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9C7686B"/>
    <w:multiLevelType w:val="hybridMultilevel"/>
    <w:tmpl w:val="A5E6ED74"/>
    <w:lvl w:ilvl="0" w:tplc="4A24D01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BBE64ED"/>
    <w:multiLevelType w:val="hybridMultilevel"/>
    <w:tmpl w:val="EE561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EA6B67"/>
    <w:multiLevelType w:val="hybridMultilevel"/>
    <w:tmpl w:val="9474C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FA1B64"/>
    <w:multiLevelType w:val="hybridMultilevel"/>
    <w:tmpl w:val="903CD9D8"/>
    <w:lvl w:ilvl="0" w:tplc="8BE20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0640D"/>
    <w:multiLevelType w:val="hybridMultilevel"/>
    <w:tmpl w:val="B5CAB40E"/>
    <w:lvl w:ilvl="0" w:tplc="9FF26D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CD26FA"/>
    <w:multiLevelType w:val="hybridMultilevel"/>
    <w:tmpl w:val="8C36654A"/>
    <w:lvl w:ilvl="0" w:tplc="91B091D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3">
    <w:nsid w:val="649324D7"/>
    <w:multiLevelType w:val="hybridMultilevel"/>
    <w:tmpl w:val="35BA7682"/>
    <w:lvl w:ilvl="0" w:tplc="0F98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60E706E"/>
    <w:multiLevelType w:val="multilevel"/>
    <w:tmpl w:val="8CBEDC9C"/>
    <w:lvl w:ilvl="0">
      <w:start w:val="1"/>
      <w:numFmt w:val="decimal"/>
      <w:lvlText w:val="%1."/>
      <w:lvlJc w:val="left"/>
      <w:pPr>
        <w:ind w:left="180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5">
    <w:nsid w:val="67394303"/>
    <w:multiLevelType w:val="hybridMultilevel"/>
    <w:tmpl w:val="9E28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E5596C"/>
    <w:multiLevelType w:val="hybridMultilevel"/>
    <w:tmpl w:val="C46C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7020C7"/>
    <w:multiLevelType w:val="hybridMultilevel"/>
    <w:tmpl w:val="8E0E552A"/>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6DA05084"/>
    <w:multiLevelType w:val="hybridMultilevel"/>
    <w:tmpl w:val="C19AC978"/>
    <w:lvl w:ilvl="0" w:tplc="A3521C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C95831"/>
    <w:multiLevelType w:val="hybridMultilevel"/>
    <w:tmpl w:val="35BA7682"/>
    <w:lvl w:ilvl="0" w:tplc="0F98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2D81BAF"/>
    <w:multiLevelType w:val="hybridMultilevel"/>
    <w:tmpl w:val="5DA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014F0E"/>
    <w:multiLevelType w:val="hybridMultilevel"/>
    <w:tmpl w:val="9ED84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4E12FC6"/>
    <w:multiLevelType w:val="hybridMultilevel"/>
    <w:tmpl w:val="FA6A6410"/>
    <w:lvl w:ilvl="0" w:tplc="3BE6503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5A1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9172D8E"/>
    <w:multiLevelType w:val="hybridMultilevel"/>
    <w:tmpl w:val="12187026"/>
    <w:lvl w:ilvl="0" w:tplc="4A24D012">
      <w:start w:val="1"/>
      <w:numFmt w:val="decimal"/>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9FB61F6"/>
    <w:multiLevelType w:val="hybridMultilevel"/>
    <w:tmpl w:val="FDF40C60"/>
    <w:lvl w:ilvl="0" w:tplc="0BA4E3A4">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6">
    <w:nsid w:val="7B7058FD"/>
    <w:multiLevelType w:val="hybridMultilevel"/>
    <w:tmpl w:val="89BA2176"/>
    <w:lvl w:ilvl="0" w:tplc="FE967AF6">
      <w:start w:val="1"/>
      <w:numFmt w:val="decimal"/>
      <w:lvlText w:val="(%1)"/>
      <w:lvlJc w:val="left"/>
      <w:pPr>
        <w:ind w:left="1500" w:hanging="360"/>
      </w:pPr>
      <w:rPr>
        <w:rFonts w:ascii="Arial" w:eastAsia="Times New Roman" w:hAnsi="Arial" w:cs="Arial"/>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7C9C40E4"/>
    <w:multiLevelType w:val="multilevel"/>
    <w:tmpl w:val="46A0D59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bullet"/>
      <w:lvlText w:val=""/>
      <w:lvlJc w:val="left"/>
      <w:pPr>
        <w:ind w:left="1584" w:hanging="504"/>
      </w:pPr>
      <w:rPr>
        <w:rFonts w:ascii="Wingdings" w:hAnsi="Wingding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1"/>
  </w:num>
  <w:num w:numId="2">
    <w:abstractNumId w:val="45"/>
  </w:num>
  <w:num w:numId="3">
    <w:abstractNumId w:val="43"/>
  </w:num>
  <w:num w:numId="4">
    <w:abstractNumId w:val="28"/>
  </w:num>
  <w:num w:numId="5">
    <w:abstractNumId w:val="63"/>
  </w:num>
  <w:num w:numId="6">
    <w:abstractNumId w:val="13"/>
  </w:num>
  <w:num w:numId="7">
    <w:abstractNumId w:val="1"/>
  </w:num>
  <w:num w:numId="8">
    <w:abstractNumId w:val="4"/>
  </w:num>
  <w:num w:numId="9">
    <w:abstractNumId w:val="24"/>
  </w:num>
  <w:num w:numId="10">
    <w:abstractNumId w:val="58"/>
  </w:num>
  <w:num w:numId="11">
    <w:abstractNumId w:val="16"/>
  </w:num>
  <w:num w:numId="12">
    <w:abstractNumId w:val="0"/>
  </w:num>
  <w:num w:numId="13">
    <w:abstractNumId w:val="25"/>
  </w:num>
  <w:num w:numId="14">
    <w:abstractNumId w:val="56"/>
  </w:num>
  <w:num w:numId="15">
    <w:abstractNumId w:val="8"/>
  </w:num>
  <w:num w:numId="16">
    <w:abstractNumId w:val="47"/>
  </w:num>
  <w:num w:numId="17">
    <w:abstractNumId w:val="64"/>
  </w:num>
  <w:num w:numId="18">
    <w:abstractNumId w:val="46"/>
  </w:num>
  <w:num w:numId="19">
    <w:abstractNumId w:val="33"/>
  </w:num>
  <w:num w:numId="20">
    <w:abstractNumId w:val="51"/>
  </w:num>
  <w:num w:numId="21">
    <w:abstractNumId w:val="23"/>
  </w:num>
  <w:num w:numId="22">
    <w:abstractNumId w:val="5"/>
  </w:num>
  <w:num w:numId="23">
    <w:abstractNumId w:val="61"/>
  </w:num>
  <w:num w:numId="24">
    <w:abstractNumId w:val="22"/>
  </w:num>
  <w:num w:numId="25">
    <w:abstractNumId w:val="32"/>
  </w:num>
  <w:num w:numId="26">
    <w:abstractNumId w:val="66"/>
  </w:num>
  <w:num w:numId="27">
    <w:abstractNumId w:val="30"/>
  </w:num>
  <w:num w:numId="28">
    <w:abstractNumId w:val="48"/>
  </w:num>
  <w:num w:numId="29">
    <w:abstractNumId w:val="29"/>
  </w:num>
  <w:num w:numId="30">
    <w:abstractNumId w:val="42"/>
  </w:num>
  <w:num w:numId="31">
    <w:abstractNumId w:val="35"/>
  </w:num>
  <w:num w:numId="32">
    <w:abstractNumId w:val="62"/>
  </w:num>
  <w:num w:numId="33">
    <w:abstractNumId w:val="52"/>
  </w:num>
  <w:num w:numId="34">
    <w:abstractNumId w:val="18"/>
  </w:num>
  <w:num w:numId="35">
    <w:abstractNumId w:val="17"/>
  </w:num>
  <w:num w:numId="36">
    <w:abstractNumId w:val="11"/>
  </w:num>
  <w:num w:numId="37">
    <w:abstractNumId w:val="9"/>
  </w:num>
  <w:num w:numId="38">
    <w:abstractNumId w:val="34"/>
  </w:num>
  <w:num w:numId="39">
    <w:abstractNumId w:val="41"/>
  </w:num>
  <w:num w:numId="40">
    <w:abstractNumId w:val="6"/>
  </w:num>
  <w:num w:numId="41">
    <w:abstractNumId w:val="27"/>
  </w:num>
  <w:num w:numId="42">
    <w:abstractNumId w:val="40"/>
  </w:num>
  <w:num w:numId="43">
    <w:abstractNumId w:val="38"/>
  </w:num>
  <w:num w:numId="44">
    <w:abstractNumId w:val="20"/>
  </w:num>
  <w:num w:numId="45">
    <w:abstractNumId w:val="14"/>
  </w:num>
  <w:num w:numId="46">
    <w:abstractNumId w:val="3"/>
  </w:num>
  <w:num w:numId="47">
    <w:abstractNumId w:val="12"/>
  </w:num>
  <w:num w:numId="48">
    <w:abstractNumId w:val="15"/>
  </w:num>
  <w:num w:numId="49">
    <w:abstractNumId w:val="2"/>
  </w:num>
  <w:num w:numId="50">
    <w:abstractNumId w:val="10"/>
  </w:num>
  <w:num w:numId="51">
    <w:abstractNumId w:val="53"/>
  </w:num>
  <w:num w:numId="52">
    <w:abstractNumId w:val="19"/>
  </w:num>
  <w:num w:numId="53">
    <w:abstractNumId w:val="59"/>
  </w:num>
  <w:num w:numId="54">
    <w:abstractNumId w:val="57"/>
  </w:num>
  <w:num w:numId="55">
    <w:abstractNumId w:val="36"/>
  </w:num>
  <w:num w:numId="56">
    <w:abstractNumId w:val="55"/>
  </w:num>
  <w:num w:numId="57">
    <w:abstractNumId w:val="26"/>
  </w:num>
  <w:num w:numId="58">
    <w:abstractNumId w:val="7"/>
  </w:num>
  <w:num w:numId="59">
    <w:abstractNumId w:val="39"/>
  </w:num>
  <w:num w:numId="60">
    <w:abstractNumId w:val="44"/>
  </w:num>
  <w:num w:numId="61">
    <w:abstractNumId w:val="60"/>
  </w:num>
  <w:num w:numId="62">
    <w:abstractNumId w:val="37"/>
  </w:num>
  <w:num w:numId="63">
    <w:abstractNumId w:val="50"/>
  </w:num>
  <w:num w:numId="64">
    <w:abstractNumId w:val="54"/>
  </w:num>
  <w:num w:numId="65">
    <w:abstractNumId w:val="67"/>
  </w:num>
  <w:num w:numId="66">
    <w:abstractNumId w:val="31"/>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219E"/>
    <w:rsid w:val="0001488D"/>
    <w:rsid w:val="00021AE5"/>
    <w:rsid w:val="00021FD7"/>
    <w:rsid w:val="00022362"/>
    <w:rsid w:val="00022DD4"/>
    <w:rsid w:val="00033E22"/>
    <w:rsid w:val="00035CCA"/>
    <w:rsid w:val="00046D9D"/>
    <w:rsid w:val="0005190C"/>
    <w:rsid w:val="00055740"/>
    <w:rsid w:val="0005610A"/>
    <w:rsid w:val="00060B3B"/>
    <w:rsid w:val="00060FE7"/>
    <w:rsid w:val="00062A0B"/>
    <w:rsid w:val="00062E50"/>
    <w:rsid w:val="00063D55"/>
    <w:rsid w:val="00073103"/>
    <w:rsid w:val="00082648"/>
    <w:rsid w:val="00082F8E"/>
    <w:rsid w:val="00084399"/>
    <w:rsid w:val="000928A3"/>
    <w:rsid w:val="00095193"/>
    <w:rsid w:val="000979C9"/>
    <w:rsid w:val="000A1088"/>
    <w:rsid w:val="000A1507"/>
    <w:rsid w:val="000C7158"/>
    <w:rsid w:val="000C7B28"/>
    <w:rsid w:val="000D5A7D"/>
    <w:rsid w:val="000D5C29"/>
    <w:rsid w:val="000E1C89"/>
    <w:rsid w:val="0010049F"/>
    <w:rsid w:val="00101B9E"/>
    <w:rsid w:val="00101CA3"/>
    <w:rsid w:val="001048E2"/>
    <w:rsid w:val="00105710"/>
    <w:rsid w:val="001101B2"/>
    <w:rsid w:val="0011164A"/>
    <w:rsid w:val="001175B4"/>
    <w:rsid w:val="001242F9"/>
    <w:rsid w:val="00125512"/>
    <w:rsid w:val="00142E04"/>
    <w:rsid w:val="00145278"/>
    <w:rsid w:val="00150A5A"/>
    <w:rsid w:val="00164154"/>
    <w:rsid w:val="001645E8"/>
    <w:rsid w:val="00167528"/>
    <w:rsid w:val="0017133C"/>
    <w:rsid w:val="00171AA6"/>
    <w:rsid w:val="00173A50"/>
    <w:rsid w:val="0018156D"/>
    <w:rsid w:val="001818BF"/>
    <w:rsid w:val="00183CB6"/>
    <w:rsid w:val="00187391"/>
    <w:rsid w:val="00187F89"/>
    <w:rsid w:val="0019084D"/>
    <w:rsid w:val="0019170B"/>
    <w:rsid w:val="00194CCD"/>
    <w:rsid w:val="001957D1"/>
    <w:rsid w:val="001A0E33"/>
    <w:rsid w:val="001A3168"/>
    <w:rsid w:val="001A40C8"/>
    <w:rsid w:val="001A508B"/>
    <w:rsid w:val="001A5C8A"/>
    <w:rsid w:val="001C00B2"/>
    <w:rsid w:val="001C79CB"/>
    <w:rsid w:val="001D1720"/>
    <w:rsid w:val="001D3BCD"/>
    <w:rsid w:val="001D75E7"/>
    <w:rsid w:val="001E01F6"/>
    <w:rsid w:val="001E1FC5"/>
    <w:rsid w:val="001E33DB"/>
    <w:rsid w:val="001E696B"/>
    <w:rsid w:val="001F27BA"/>
    <w:rsid w:val="00206DC4"/>
    <w:rsid w:val="00207C8C"/>
    <w:rsid w:val="002130D3"/>
    <w:rsid w:val="00221372"/>
    <w:rsid w:val="00221506"/>
    <w:rsid w:val="00230DFC"/>
    <w:rsid w:val="0023142E"/>
    <w:rsid w:val="002329EA"/>
    <w:rsid w:val="00233ADF"/>
    <w:rsid w:val="00237F5B"/>
    <w:rsid w:val="002403D5"/>
    <w:rsid w:val="002405E7"/>
    <w:rsid w:val="00242406"/>
    <w:rsid w:val="0024486E"/>
    <w:rsid w:val="00253868"/>
    <w:rsid w:val="002538A7"/>
    <w:rsid w:val="0026231D"/>
    <w:rsid w:val="00264EB2"/>
    <w:rsid w:val="00271B7B"/>
    <w:rsid w:val="0029045B"/>
    <w:rsid w:val="00292F95"/>
    <w:rsid w:val="00293599"/>
    <w:rsid w:val="002A016D"/>
    <w:rsid w:val="002A07B6"/>
    <w:rsid w:val="002B02E1"/>
    <w:rsid w:val="002B1295"/>
    <w:rsid w:val="002B22CB"/>
    <w:rsid w:val="002B4BB4"/>
    <w:rsid w:val="002B5BA8"/>
    <w:rsid w:val="002B75DC"/>
    <w:rsid w:val="002C0199"/>
    <w:rsid w:val="002C5B99"/>
    <w:rsid w:val="002D07D4"/>
    <w:rsid w:val="002D1DA8"/>
    <w:rsid w:val="002D3BBC"/>
    <w:rsid w:val="002D47EE"/>
    <w:rsid w:val="002D6254"/>
    <w:rsid w:val="002E0E7D"/>
    <w:rsid w:val="002E515F"/>
    <w:rsid w:val="002F4AF9"/>
    <w:rsid w:val="003031CF"/>
    <w:rsid w:val="003036A6"/>
    <w:rsid w:val="00310BD0"/>
    <w:rsid w:val="00312C45"/>
    <w:rsid w:val="00313070"/>
    <w:rsid w:val="003143B5"/>
    <w:rsid w:val="00316574"/>
    <w:rsid w:val="00317372"/>
    <w:rsid w:val="0033416C"/>
    <w:rsid w:val="0033579E"/>
    <w:rsid w:val="003371DD"/>
    <w:rsid w:val="00344958"/>
    <w:rsid w:val="00346BBF"/>
    <w:rsid w:val="00351349"/>
    <w:rsid w:val="003516DC"/>
    <w:rsid w:val="0035636A"/>
    <w:rsid w:val="003643B2"/>
    <w:rsid w:val="00366B7A"/>
    <w:rsid w:val="0037050E"/>
    <w:rsid w:val="00374BC2"/>
    <w:rsid w:val="0037528D"/>
    <w:rsid w:val="003819B6"/>
    <w:rsid w:val="00381AFA"/>
    <w:rsid w:val="0038379F"/>
    <w:rsid w:val="00383B17"/>
    <w:rsid w:val="00384595"/>
    <w:rsid w:val="003847BD"/>
    <w:rsid w:val="00387CA7"/>
    <w:rsid w:val="003A598E"/>
    <w:rsid w:val="003B2B9F"/>
    <w:rsid w:val="003B365E"/>
    <w:rsid w:val="003C1B60"/>
    <w:rsid w:val="003C2B55"/>
    <w:rsid w:val="003C79FB"/>
    <w:rsid w:val="003C7AC1"/>
    <w:rsid w:val="003D5C6F"/>
    <w:rsid w:val="003D5E44"/>
    <w:rsid w:val="003D78C0"/>
    <w:rsid w:val="003E04FF"/>
    <w:rsid w:val="003E61D1"/>
    <w:rsid w:val="003F0F99"/>
    <w:rsid w:val="003F1385"/>
    <w:rsid w:val="003F1F08"/>
    <w:rsid w:val="003F4BCC"/>
    <w:rsid w:val="003F7C1C"/>
    <w:rsid w:val="0040245F"/>
    <w:rsid w:val="00404FD4"/>
    <w:rsid w:val="00405322"/>
    <w:rsid w:val="00410423"/>
    <w:rsid w:val="00412B4D"/>
    <w:rsid w:val="00412ECE"/>
    <w:rsid w:val="00414F53"/>
    <w:rsid w:val="00417D36"/>
    <w:rsid w:val="004225BF"/>
    <w:rsid w:val="00423C37"/>
    <w:rsid w:val="004312A6"/>
    <w:rsid w:val="00432956"/>
    <w:rsid w:val="004347BA"/>
    <w:rsid w:val="00434CD3"/>
    <w:rsid w:val="0043769A"/>
    <w:rsid w:val="00443067"/>
    <w:rsid w:val="0044748A"/>
    <w:rsid w:val="0045045E"/>
    <w:rsid w:val="0046176D"/>
    <w:rsid w:val="00462608"/>
    <w:rsid w:val="0046514E"/>
    <w:rsid w:val="004666E5"/>
    <w:rsid w:val="00467A67"/>
    <w:rsid w:val="00472999"/>
    <w:rsid w:val="004770B8"/>
    <w:rsid w:val="00477575"/>
    <w:rsid w:val="004913BC"/>
    <w:rsid w:val="00491C7A"/>
    <w:rsid w:val="004A7FFD"/>
    <w:rsid w:val="004B502B"/>
    <w:rsid w:val="004C0859"/>
    <w:rsid w:val="004C3D6F"/>
    <w:rsid w:val="004C54A9"/>
    <w:rsid w:val="004C5B42"/>
    <w:rsid w:val="004D3444"/>
    <w:rsid w:val="004D5AD9"/>
    <w:rsid w:val="004E076E"/>
    <w:rsid w:val="004E3CD7"/>
    <w:rsid w:val="004F0547"/>
    <w:rsid w:val="004F1ADC"/>
    <w:rsid w:val="004F4318"/>
    <w:rsid w:val="004F4E1F"/>
    <w:rsid w:val="00500AEF"/>
    <w:rsid w:val="00500DDB"/>
    <w:rsid w:val="00503771"/>
    <w:rsid w:val="00507824"/>
    <w:rsid w:val="0051025F"/>
    <w:rsid w:val="0051559A"/>
    <w:rsid w:val="005226F2"/>
    <w:rsid w:val="00532D29"/>
    <w:rsid w:val="005354C3"/>
    <w:rsid w:val="00543CE5"/>
    <w:rsid w:val="00545A4F"/>
    <w:rsid w:val="0054669B"/>
    <w:rsid w:val="00552E37"/>
    <w:rsid w:val="00555B55"/>
    <w:rsid w:val="00556E76"/>
    <w:rsid w:val="00564219"/>
    <w:rsid w:val="005672EB"/>
    <w:rsid w:val="00576E2E"/>
    <w:rsid w:val="005853F7"/>
    <w:rsid w:val="00586363"/>
    <w:rsid w:val="0059285E"/>
    <w:rsid w:val="00594D7D"/>
    <w:rsid w:val="0059657E"/>
    <w:rsid w:val="005A0AB2"/>
    <w:rsid w:val="005A22B4"/>
    <w:rsid w:val="005A76E6"/>
    <w:rsid w:val="005B4E0D"/>
    <w:rsid w:val="005B6E16"/>
    <w:rsid w:val="005C134C"/>
    <w:rsid w:val="005D11EE"/>
    <w:rsid w:val="005D4A43"/>
    <w:rsid w:val="005D5E25"/>
    <w:rsid w:val="005E4F86"/>
    <w:rsid w:val="005E7AC5"/>
    <w:rsid w:val="005E7EA8"/>
    <w:rsid w:val="005F0DA1"/>
    <w:rsid w:val="005F2354"/>
    <w:rsid w:val="005F3BCE"/>
    <w:rsid w:val="005F3FFF"/>
    <w:rsid w:val="005F576E"/>
    <w:rsid w:val="005F69AB"/>
    <w:rsid w:val="005F6A72"/>
    <w:rsid w:val="00600BAD"/>
    <w:rsid w:val="00604490"/>
    <w:rsid w:val="00605E74"/>
    <w:rsid w:val="00625559"/>
    <w:rsid w:val="00627928"/>
    <w:rsid w:val="00634B4E"/>
    <w:rsid w:val="00641A81"/>
    <w:rsid w:val="00641E1C"/>
    <w:rsid w:val="00643E5F"/>
    <w:rsid w:val="0064770B"/>
    <w:rsid w:val="00655525"/>
    <w:rsid w:val="00655589"/>
    <w:rsid w:val="00661DAC"/>
    <w:rsid w:val="006621C0"/>
    <w:rsid w:val="006666B0"/>
    <w:rsid w:val="00674601"/>
    <w:rsid w:val="00676240"/>
    <w:rsid w:val="00676575"/>
    <w:rsid w:val="006809A4"/>
    <w:rsid w:val="00681E25"/>
    <w:rsid w:val="00690959"/>
    <w:rsid w:val="006A1C28"/>
    <w:rsid w:val="006A2E9E"/>
    <w:rsid w:val="006A4DA8"/>
    <w:rsid w:val="006A564A"/>
    <w:rsid w:val="006A57A1"/>
    <w:rsid w:val="006B5423"/>
    <w:rsid w:val="006C1060"/>
    <w:rsid w:val="006C35D1"/>
    <w:rsid w:val="006C3E1E"/>
    <w:rsid w:val="006C47C4"/>
    <w:rsid w:val="006C656A"/>
    <w:rsid w:val="006C70A3"/>
    <w:rsid w:val="006C7583"/>
    <w:rsid w:val="006D1429"/>
    <w:rsid w:val="006D7D66"/>
    <w:rsid w:val="006E0F50"/>
    <w:rsid w:val="006E2507"/>
    <w:rsid w:val="006E3AEB"/>
    <w:rsid w:val="006F23F4"/>
    <w:rsid w:val="006F351C"/>
    <w:rsid w:val="006F3D91"/>
    <w:rsid w:val="006F5AA3"/>
    <w:rsid w:val="007008CC"/>
    <w:rsid w:val="00701D2F"/>
    <w:rsid w:val="00702733"/>
    <w:rsid w:val="00703318"/>
    <w:rsid w:val="00707C49"/>
    <w:rsid w:val="00711112"/>
    <w:rsid w:val="007118CF"/>
    <w:rsid w:val="00711BBA"/>
    <w:rsid w:val="00713871"/>
    <w:rsid w:val="007154FA"/>
    <w:rsid w:val="00717AB9"/>
    <w:rsid w:val="007208CC"/>
    <w:rsid w:val="00722AA9"/>
    <w:rsid w:val="00722DE0"/>
    <w:rsid w:val="007249A9"/>
    <w:rsid w:val="00726BA6"/>
    <w:rsid w:val="00731270"/>
    <w:rsid w:val="00733795"/>
    <w:rsid w:val="00733F08"/>
    <w:rsid w:val="007376CF"/>
    <w:rsid w:val="007377C4"/>
    <w:rsid w:val="00747C87"/>
    <w:rsid w:val="007503DE"/>
    <w:rsid w:val="007524F0"/>
    <w:rsid w:val="007561F5"/>
    <w:rsid w:val="00756401"/>
    <w:rsid w:val="0076047D"/>
    <w:rsid w:val="00763371"/>
    <w:rsid w:val="0076588E"/>
    <w:rsid w:val="0076693D"/>
    <w:rsid w:val="007734DC"/>
    <w:rsid w:val="007736E9"/>
    <w:rsid w:val="0077384E"/>
    <w:rsid w:val="0077686A"/>
    <w:rsid w:val="0077688A"/>
    <w:rsid w:val="00780D8A"/>
    <w:rsid w:val="0078309D"/>
    <w:rsid w:val="007852B8"/>
    <w:rsid w:val="007927DE"/>
    <w:rsid w:val="00792B65"/>
    <w:rsid w:val="00797023"/>
    <w:rsid w:val="007A3973"/>
    <w:rsid w:val="007A4610"/>
    <w:rsid w:val="007A5793"/>
    <w:rsid w:val="007A5AD2"/>
    <w:rsid w:val="007B36A3"/>
    <w:rsid w:val="007B502D"/>
    <w:rsid w:val="007B5E6C"/>
    <w:rsid w:val="007B6778"/>
    <w:rsid w:val="007C0303"/>
    <w:rsid w:val="007C7B1B"/>
    <w:rsid w:val="007D084F"/>
    <w:rsid w:val="007D1728"/>
    <w:rsid w:val="007D1BAF"/>
    <w:rsid w:val="007E3286"/>
    <w:rsid w:val="007E68E9"/>
    <w:rsid w:val="007F1A4A"/>
    <w:rsid w:val="007F2095"/>
    <w:rsid w:val="007F31F8"/>
    <w:rsid w:val="00812E91"/>
    <w:rsid w:val="00813071"/>
    <w:rsid w:val="00820FD8"/>
    <w:rsid w:val="008213F2"/>
    <w:rsid w:val="00823AF9"/>
    <w:rsid w:val="00831253"/>
    <w:rsid w:val="00831BB1"/>
    <w:rsid w:val="008374A0"/>
    <w:rsid w:val="00843200"/>
    <w:rsid w:val="0084716C"/>
    <w:rsid w:val="00853B67"/>
    <w:rsid w:val="00861E04"/>
    <w:rsid w:val="00865718"/>
    <w:rsid w:val="0087121E"/>
    <w:rsid w:val="008713D2"/>
    <w:rsid w:val="00874478"/>
    <w:rsid w:val="008753B5"/>
    <w:rsid w:val="00875742"/>
    <w:rsid w:val="008840EE"/>
    <w:rsid w:val="00886392"/>
    <w:rsid w:val="00887B33"/>
    <w:rsid w:val="0089347A"/>
    <w:rsid w:val="008A059B"/>
    <w:rsid w:val="008B2CE2"/>
    <w:rsid w:val="008B4B90"/>
    <w:rsid w:val="008B4D0E"/>
    <w:rsid w:val="008B7576"/>
    <w:rsid w:val="008C5B8A"/>
    <w:rsid w:val="008C69F7"/>
    <w:rsid w:val="008E3A73"/>
    <w:rsid w:val="008E6316"/>
    <w:rsid w:val="008F0F99"/>
    <w:rsid w:val="008F4B40"/>
    <w:rsid w:val="00902E6F"/>
    <w:rsid w:val="00904CA2"/>
    <w:rsid w:val="00906D39"/>
    <w:rsid w:val="00907631"/>
    <w:rsid w:val="0091038C"/>
    <w:rsid w:val="009122B5"/>
    <w:rsid w:val="00912E3A"/>
    <w:rsid w:val="00913DEC"/>
    <w:rsid w:val="0091590A"/>
    <w:rsid w:val="009216AC"/>
    <w:rsid w:val="00924BBC"/>
    <w:rsid w:val="009263CC"/>
    <w:rsid w:val="00930957"/>
    <w:rsid w:val="00934858"/>
    <w:rsid w:val="00934988"/>
    <w:rsid w:val="009350E4"/>
    <w:rsid w:val="00935890"/>
    <w:rsid w:val="009426DC"/>
    <w:rsid w:val="00942E34"/>
    <w:rsid w:val="0094454F"/>
    <w:rsid w:val="00944674"/>
    <w:rsid w:val="00946715"/>
    <w:rsid w:val="009468D8"/>
    <w:rsid w:val="00946D17"/>
    <w:rsid w:val="00951AD0"/>
    <w:rsid w:val="00955CF0"/>
    <w:rsid w:val="009622B8"/>
    <w:rsid w:val="009629BD"/>
    <w:rsid w:val="009630B5"/>
    <w:rsid w:val="009731C0"/>
    <w:rsid w:val="00983947"/>
    <w:rsid w:val="009852D0"/>
    <w:rsid w:val="00985BE5"/>
    <w:rsid w:val="00991D19"/>
    <w:rsid w:val="00991E55"/>
    <w:rsid w:val="00991EFA"/>
    <w:rsid w:val="009A03F7"/>
    <w:rsid w:val="009A2099"/>
    <w:rsid w:val="009A57AA"/>
    <w:rsid w:val="009A76F0"/>
    <w:rsid w:val="009B4B99"/>
    <w:rsid w:val="009D3790"/>
    <w:rsid w:val="009D5F0A"/>
    <w:rsid w:val="009D70CC"/>
    <w:rsid w:val="009E0056"/>
    <w:rsid w:val="009E52ED"/>
    <w:rsid w:val="009E7390"/>
    <w:rsid w:val="009E792C"/>
    <w:rsid w:val="009F17E6"/>
    <w:rsid w:val="009F7ED7"/>
    <w:rsid w:val="00A01655"/>
    <w:rsid w:val="00A1026E"/>
    <w:rsid w:val="00A32F4C"/>
    <w:rsid w:val="00A34487"/>
    <w:rsid w:val="00A378BC"/>
    <w:rsid w:val="00A3796E"/>
    <w:rsid w:val="00A449E1"/>
    <w:rsid w:val="00A502C8"/>
    <w:rsid w:val="00A54B74"/>
    <w:rsid w:val="00A57884"/>
    <w:rsid w:val="00A61A73"/>
    <w:rsid w:val="00A63CE6"/>
    <w:rsid w:val="00A64607"/>
    <w:rsid w:val="00A64FF5"/>
    <w:rsid w:val="00A66D47"/>
    <w:rsid w:val="00A6755B"/>
    <w:rsid w:val="00A70CC8"/>
    <w:rsid w:val="00A76877"/>
    <w:rsid w:val="00A825CB"/>
    <w:rsid w:val="00A82D75"/>
    <w:rsid w:val="00A873C3"/>
    <w:rsid w:val="00A91CC1"/>
    <w:rsid w:val="00A92D08"/>
    <w:rsid w:val="00A96B5C"/>
    <w:rsid w:val="00A96C4E"/>
    <w:rsid w:val="00AA7795"/>
    <w:rsid w:val="00AC0A92"/>
    <w:rsid w:val="00AD24B1"/>
    <w:rsid w:val="00AD2D9D"/>
    <w:rsid w:val="00AD429A"/>
    <w:rsid w:val="00AD5A5A"/>
    <w:rsid w:val="00AE53DE"/>
    <w:rsid w:val="00AE7F80"/>
    <w:rsid w:val="00AF1771"/>
    <w:rsid w:val="00B03D86"/>
    <w:rsid w:val="00B1385F"/>
    <w:rsid w:val="00B17154"/>
    <w:rsid w:val="00B25A25"/>
    <w:rsid w:val="00B27467"/>
    <w:rsid w:val="00B312AD"/>
    <w:rsid w:val="00B461D5"/>
    <w:rsid w:val="00B515BB"/>
    <w:rsid w:val="00B55C7B"/>
    <w:rsid w:val="00B56D5D"/>
    <w:rsid w:val="00B6129C"/>
    <w:rsid w:val="00B6257F"/>
    <w:rsid w:val="00B62F3F"/>
    <w:rsid w:val="00B63598"/>
    <w:rsid w:val="00B648AA"/>
    <w:rsid w:val="00B67887"/>
    <w:rsid w:val="00B737C7"/>
    <w:rsid w:val="00B74EDF"/>
    <w:rsid w:val="00B773BF"/>
    <w:rsid w:val="00B874D2"/>
    <w:rsid w:val="00B92B80"/>
    <w:rsid w:val="00B93513"/>
    <w:rsid w:val="00B94141"/>
    <w:rsid w:val="00B969F4"/>
    <w:rsid w:val="00BA0C42"/>
    <w:rsid w:val="00BA1FCC"/>
    <w:rsid w:val="00BA7529"/>
    <w:rsid w:val="00BA7C2D"/>
    <w:rsid w:val="00BC0378"/>
    <w:rsid w:val="00BC136B"/>
    <w:rsid w:val="00BC168F"/>
    <w:rsid w:val="00BC42B8"/>
    <w:rsid w:val="00BC6DC3"/>
    <w:rsid w:val="00BD125F"/>
    <w:rsid w:val="00BE0351"/>
    <w:rsid w:val="00BF21C6"/>
    <w:rsid w:val="00BF26B9"/>
    <w:rsid w:val="00C011C5"/>
    <w:rsid w:val="00C04E54"/>
    <w:rsid w:val="00C064A5"/>
    <w:rsid w:val="00C124FF"/>
    <w:rsid w:val="00C175A3"/>
    <w:rsid w:val="00C17A34"/>
    <w:rsid w:val="00C25071"/>
    <w:rsid w:val="00C25256"/>
    <w:rsid w:val="00C2614A"/>
    <w:rsid w:val="00C306D0"/>
    <w:rsid w:val="00C34C9D"/>
    <w:rsid w:val="00C45623"/>
    <w:rsid w:val="00C53B8F"/>
    <w:rsid w:val="00C56B4E"/>
    <w:rsid w:val="00C57431"/>
    <w:rsid w:val="00C6025C"/>
    <w:rsid w:val="00C60A62"/>
    <w:rsid w:val="00C64680"/>
    <w:rsid w:val="00C652B8"/>
    <w:rsid w:val="00C661E2"/>
    <w:rsid w:val="00C66987"/>
    <w:rsid w:val="00C67BDA"/>
    <w:rsid w:val="00C75B2C"/>
    <w:rsid w:val="00C905F3"/>
    <w:rsid w:val="00C910AC"/>
    <w:rsid w:val="00C91FC3"/>
    <w:rsid w:val="00C92F8B"/>
    <w:rsid w:val="00C97DFE"/>
    <w:rsid w:val="00CA0063"/>
    <w:rsid w:val="00CA062E"/>
    <w:rsid w:val="00CA104C"/>
    <w:rsid w:val="00CB0046"/>
    <w:rsid w:val="00CB33ED"/>
    <w:rsid w:val="00CB3E76"/>
    <w:rsid w:val="00CB442E"/>
    <w:rsid w:val="00CC1200"/>
    <w:rsid w:val="00CC13E3"/>
    <w:rsid w:val="00CC26A6"/>
    <w:rsid w:val="00CC3BDE"/>
    <w:rsid w:val="00CC479C"/>
    <w:rsid w:val="00CC50F2"/>
    <w:rsid w:val="00CC6B9A"/>
    <w:rsid w:val="00CD43F7"/>
    <w:rsid w:val="00CD659A"/>
    <w:rsid w:val="00CE4106"/>
    <w:rsid w:val="00CE4AD5"/>
    <w:rsid w:val="00CF289E"/>
    <w:rsid w:val="00CF4AB7"/>
    <w:rsid w:val="00D00694"/>
    <w:rsid w:val="00D008C5"/>
    <w:rsid w:val="00D1390E"/>
    <w:rsid w:val="00D151E5"/>
    <w:rsid w:val="00D16B08"/>
    <w:rsid w:val="00D21BAE"/>
    <w:rsid w:val="00D248F4"/>
    <w:rsid w:val="00D24FDB"/>
    <w:rsid w:val="00D25011"/>
    <w:rsid w:val="00D32999"/>
    <w:rsid w:val="00D351DD"/>
    <w:rsid w:val="00D3675F"/>
    <w:rsid w:val="00D443DB"/>
    <w:rsid w:val="00D4533A"/>
    <w:rsid w:val="00D453C9"/>
    <w:rsid w:val="00D47CA4"/>
    <w:rsid w:val="00D52529"/>
    <w:rsid w:val="00D53B66"/>
    <w:rsid w:val="00D56A19"/>
    <w:rsid w:val="00D66676"/>
    <w:rsid w:val="00D739E8"/>
    <w:rsid w:val="00D877F5"/>
    <w:rsid w:val="00D95E50"/>
    <w:rsid w:val="00D97961"/>
    <w:rsid w:val="00DA09C1"/>
    <w:rsid w:val="00DA77FA"/>
    <w:rsid w:val="00DB0089"/>
    <w:rsid w:val="00DB38BE"/>
    <w:rsid w:val="00DC2EC0"/>
    <w:rsid w:val="00DC57E9"/>
    <w:rsid w:val="00DD00B4"/>
    <w:rsid w:val="00DD0933"/>
    <w:rsid w:val="00DD4062"/>
    <w:rsid w:val="00DE2A46"/>
    <w:rsid w:val="00DF059D"/>
    <w:rsid w:val="00DF6D38"/>
    <w:rsid w:val="00E014E3"/>
    <w:rsid w:val="00E05896"/>
    <w:rsid w:val="00E0791B"/>
    <w:rsid w:val="00E1087A"/>
    <w:rsid w:val="00E118BA"/>
    <w:rsid w:val="00E1324F"/>
    <w:rsid w:val="00E1344D"/>
    <w:rsid w:val="00E17809"/>
    <w:rsid w:val="00E20AD7"/>
    <w:rsid w:val="00E25786"/>
    <w:rsid w:val="00E25995"/>
    <w:rsid w:val="00E267BB"/>
    <w:rsid w:val="00E278EB"/>
    <w:rsid w:val="00E32916"/>
    <w:rsid w:val="00E3480A"/>
    <w:rsid w:val="00E35F00"/>
    <w:rsid w:val="00E37944"/>
    <w:rsid w:val="00E4333F"/>
    <w:rsid w:val="00E442EC"/>
    <w:rsid w:val="00E5286C"/>
    <w:rsid w:val="00E63FD5"/>
    <w:rsid w:val="00E773C2"/>
    <w:rsid w:val="00E8211A"/>
    <w:rsid w:val="00E84DF5"/>
    <w:rsid w:val="00E878D0"/>
    <w:rsid w:val="00E95EB8"/>
    <w:rsid w:val="00EA1DFA"/>
    <w:rsid w:val="00EA525C"/>
    <w:rsid w:val="00EB11AC"/>
    <w:rsid w:val="00EB476A"/>
    <w:rsid w:val="00EB573A"/>
    <w:rsid w:val="00EB612E"/>
    <w:rsid w:val="00EC183C"/>
    <w:rsid w:val="00EC2D03"/>
    <w:rsid w:val="00EC7FD6"/>
    <w:rsid w:val="00ED20FF"/>
    <w:rsid w:val="00ED24D4"/>
    <w:rsid w:val="00ED27A7"/>
    <w:rsid w:val="00ED53C1"/>
    <w:rsid w:val="00ED5B41"/>
    <w:rsid w:val="00EE0129"/>
    <w:rsid w:val="00EE5E54"/>
    <w:rsid w:val="00EE75A7"/>
    <w:rsid w:val="00EE7F72"/>
    <w:rsid w:val="00EF67E2"/>
    <w:rsid w:val="00EF6E41"/>
    <w:rsid w:val="00F0064A"/>
    <w:rsid w:val="00F03AA7"/>
    <w:rsid w:val="00F04DCC"/>
    <w:rsid w:val="00F12014"/>
    <w:rsid w:val="00F147B2"/>
    <w:rsid w:val="00F154A3"/>
    <w:rsid w:val="00F16C01"/>
    <w:rsid w:val="00F201E4"/>
    <w:rsid w:val="00F203C2"/>
    <w:rsid w:val="00F204CC"/>
    <w:rsid w:val="00F210E6"/>
    <w:rsid w:val="00F2211B"/>
    <w:rsid w:val="00F2474B"/>
    <w:rsid w:val="00F27A34"/>
    <w:rsid w:val="00F357A0"/>
    <w:rsid w:val="00F36039"/>
    <w:rsid w:val="00F36FDD"/>
    <w:rsid w:val="00F37347"/>
    <w:rsid w:val="00F40613"/>
    <w:rsid w:val="00F45A06"/>
    <w:rsid w:val="00F55D5D"/>
    <w:rsid w:val="00F62E06"/>
    <w:rsid w:val="00F63F59"/>
    <w:rsid w:val="00F66884"/>
    <w:rsid w:val="00F675D0"/>
    <w:rsid w:val="00F71E36"/>
    <w:rsid w:val="00F817A7"/>
    <w:rsid w:val="00FA60B0"/>
    <w:rsid w:val="00FB17CB"/>
    <w:rsid w:val="00FB1A9A"/>
    <w:rsid w:val="00FB36C5"/>
    <w:rsid w:val="00FB4E0E"/>
    <w:rsid w:val="00FB7E09"/>
    <w:rsid w:val="00FB7F0A"/>
    <w:rsid w:val="00FD0052"/>
    <w:rsid w:val="00FD2970"/>
    <w:rsid w:val="00FD2A4B"/>
    <w:rsid w:val="00FE161C"/>
    <w:rsid w:val="00FE1C73"/>
    <w:rsid w:val="00FF02A0"/>
    <w:rsid w:val="00FF086F"/>
    <w:rsid w:val="00FF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7087">
      <w:bodyDiv w:val="1"/>
      <w:marLeft w:val="0"/>
      <w:marRight w:val="0"/>
      <w:marTop w:val="0"/>
      <w:marBottom w:val="0"/>
      <w:divBdr>
        <w:top w:val="none" w:sz="0" w:space="0" w:color="auto"/>
        <w:left w:val="none" w:sz="0" w:space="0" w:color="auto"/>
        <w:bottom w:val="none" w:sz="0" w:space="0" w:color="auto"/>
        <w:right w:val="none" w:sz="0" w:space="0" w:color="auto"/>
      </w:divBdr>
    </w:div>
    <w:div w:id="226496015">
      <w:bodyDiv w:val="1"/>
      <w:marLeft w:val="0"/>
      <w:marRight w:val="0"/>
      <w:marTop w:val="0"/>
      <w:marBottom w:val="0"/>
      <w:divBdr>
        <w:top w:val="none" w:sz="0" w:space="0" w:color="auto"/>
        <w:left w:val="none" w:sz="0" w:space="0" w:color="auto"/>
        <w:bottom w:val="none" w:sz="0" w:space="0" w:color="auto"/>
        <w:right w:val="none" w:sz="0" w:space="0" w:color="auto"/>
      </w:divBdr>
    </w:div>
    <w:div w:id="256642028">
      <w:bodyDiv w:val="1"/>
      <w:marLeft w:val="0"/>
      <w:marRight w:val="0"/>
      <w:marTop w:val="0"/>
      <w:marBottom w:val="0"/>
      <w:divBdr>
        <w:top w:val="none" w:sz="0" w:space="0" w:color="auto"/>
        <w:left w:val="none" w:sz="0" w:space="0" w:color="auto"/>
        <w:bottom w:val="none" w:sz="0" w:space="0" w:color="auto"/>
        <w:right w:val="none" w:sz="0" w:space="0" w:color="auto"/>
      </w:divBdr>
    </w:div>
    <w:div w:id="343287341">
      <w:bodyDiv w:val="1"/>
      <w:marLeft w:val="0"/>
      <w:marRight w:val="0"/>
      <w:marTop w:val="0"/>
      <w:marBottom w:val="0"/>
      <w:divBdr>
        <w:top w:val="none" w:sz="0" w:space="0" w:color="auto"/>
        <w:left w:val="none" w:sz="0" w:space="0" w:color="auto"/>
        <w:bottom w:val="none" w:sz="0" w:space="0" w:color="auto"/>
        <w:right w:val="none" w:sz="0" w:space="0" w:color="auto"/>
      </w:divBdr>
    </w:div>
    <w:div w:id="431440054">
      <w:bodyDiv w:val="1"/>
      <w:marLeft w:val="0"/>
      <w:marRight w:val="0"/>
      <w:marTop w:val="0"/>
      <w:marBottom w:val="0"/>
      <w:divBdr>
        <w:top w:val="none" w:sz="0" w:space="0" w:color="auto"/>
        <w:left w:val="none" w:sz="0" w:space="0" w:color="auto"/>
        <w:bottom w:val="none" w:sz="0" w:space="0" w:color="auto"/>
        <w:right w:val="none" w:sz="0" w:space="0" w:color="auto"/>
      </w:divBdr>
    </w:div>
    <w:div w:id="706880238">
      <w:bodyDiv w:val="1"/>
      <w:marLeft w:val="0"/>
      <w:marRight w:val="0"/>
      <w:marTop w:val="0"/>
      <w:marBottom w:val="0"/>
      <w:divBdr>
        <w:top w:val="none" w:sz="0" w:space="0" w:color="auto"/>
        <w:left w:val="none" w:sz="0" w:space="0" w:color="auto"/>
        <w:bottom w:val="none" w:sz="0" w:space="0" w:color="auto"/>
        <w:right w:val="none" w:sz="0" w:space="0" w:color="auto"/>
      </w:divBdr>
    </w:div>
    <w:div w:id="983004563">
      <w:bodyDiv w:val="1"/>
      <w:marLeft w:val="0"/>
      <w:marRight w:val="0"/>
      <w:marTop w:val="0"/>
      <w:marBottom w:val="0"/>
      <w:divBdr>
        <w:top w:val="none" w:sz="0" w:space="0" w:color="auto"/>
        <w:left w:val="none" w:sz="0" w:space="0" w:color="auto"/>
        <w:bottom w:val="none" w:sz="0" w:space="0" w:color="auto"/>
        <w:right w:val="none" w:sz="0" w:space="0" w:color="auto"/>
      </w:divBdr>
    </w:div>
    <w:div w:id="1661882003">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21516801">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 w:id="20810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CONTRACT FOR CAX OPERATOR SUPPORT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49A6C5-4405-4095-B41E-C5B0BC3A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9743C64C</Template>
  <TotalTime>1616</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IFIB-ACT-JWC-18-33</vt:lpstr>
    </vt:vector>
  </TitlesOfParts>
  <Company>JOINT WARFARE CENTRE</Company>
  <LinksUpToDate>false</LinksUpToDate>
  <CharactersWithSpaces>7085</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IFIB-ACT-JWC-18-33</dc:title>
  <dc:subject>Questions &amp; Answers 0001</dc:subject>
  <dc:creator>JWC SAG LEGAL Nauta, David A-3</dc:creator>
  <cp:lastModifiedBy>Kjetil Sand</cp:lastModifiedBy>
  <cp:revision>21</cp:revision>
  <cp:lastPrinted>2018-04-26T13:30:00Z</cp:lastPrinted>
  <dcterms:created xsi:type="dcterms:W3CDTF">2018-05-16T08:59:00Z</dcterms:created>
  <dcterms:modified xsi:type="dcterms:W3CDTF">2018-05-25T08:19:00Z</dcterms:modified>
</cp:coreProperties>
</file>